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C5B" w:rsidRDefault="00320DA7">
      <w:pPr>
        <w:pStyle w:val="BlackStrips"/>
      </w:pPr>
      <w:bookmarkStart w:id="0" w:name="_GoBack"/>
      <w:bookmarkEnd w:id="0"/>
      <w:r>
        <w:t>Charltons - Myanmar Highlights - 18 April 2018</w:t>
      </w:r>
    </w:p>
    <w:p w:rsidR="00E00C5B" w:rsidRDefault="00320DA7">
      <w:pPr>
        <w:pStyle w:val="ReadOnline"/>
      </w:pPr>
      <w:hyperlink>
        <w:r>
          <w:t>online version</w:t>
        </w:r>
      </w:hyperlink>
    </w:p>
    <w:p w:rsidR="00E00C5B" w:rsidRDefault="00320DA7">
      <w:pPr>
        <w:pStyle w:val="Title"/>
      </w:pPr>
      <w:r>
        <w:t>Myanmar Government announces plans to construct oil refinery in the Magne region</w:t>
      </w:r>
    </w:p>
    <w:p w:rsidR="00E00C5B" w:rsidRDefault="00320DA7">
      <w:pPr>
        <w:pStyle w:val="FirstParagraph"/>
      </w:pPr>
      <w:r>
        <w:t>The state-owned Myanma Petrochemical Enterprise (</w:t>
      </w:r>
      <w:r>
        <w:rPr>
          <w:b/>
        </w:rPr>
        <w:t>MPE</w:t>
      </w:r>
      <w:r>
        <w:t>) has announced details of its plans to construct a new oil refinery in the Magwe Region on a Public Private Partnership basis.  The new refinery will be constructed near an existing state-run facility and will have a capacity of 2 million tonnes per year.</w:t>
      </w:r>
      <w:r>
        <w:t xml:space="preserve"> It will be supplied with crude from the South East Asia pipe line, which extends onshore Myanmar from the Rakhine coast to Yunnan province in China. The Ministry of Electricity and Energy (</w:t>
      </w:r>
      <w:r>
        <w:rPr>
          <w:b/>
        </w:rPr>
        <w:t>MOEE</w:t>
      </w:r>
      <w:r>
        <w:t xml:space="preserve">) has granted approval for the new refinery to purchase crude </w:t>
      </w:r>
      <w:r>
        <w:t>from the pipeline operator the South East Asia Crude Oil Pipeline Company Limited.  Although Myanmar is a significant producer of oil and gas, the country lacks the essential refining infrastructure necessary to convert crude and untreated natural gas into</w:t>
      </w:r>
      <w:r>
        <w:t xml:space="preserve"> fuels suitable for domestic consumption. As a result, Myanmar exports most of the natural gas it produces to Thailand and China. According to the Ministry of Commerce Myanmar’s natural gas exports totaled approximately US$3.1 billion in the year ending 31</w:t>
      </w:r>
      <w:r>
        <w:t xml:space="preserve"> March 2018, which was equivalent to approximately half of Myanmar’s total export revenues. Over the same period, Myanmar imported petroleum with a value in excess of US$3 billion. According to the Myanmar Petroleum Trade Association, Myanmar imports 600,0</w:t>
      </w:r>
      <w:r>
        <w:t xml:space="preserve">00 tonnes of oil per month from Singapore alone. At present, Myanmar has two state-owned oil refineries – located in Thanlyin, near Yangon and Chauk in Magwe – and which were built in the 1950’s and 1960’s respectively.  The Thanlyin refinery is currently </w:t>
      </w:r>
      <w:r>
        <w:t xml:space="preserve">non-operational while the Chauk refinery is unable to produce refined fuels of a consistent quality.  The MOEE has begun conducting the necessary environmental and social impact assessments for the construction of the refinery. Following the completion of </w:t>
      </w:r>
      <w:r>
        <w:t xml:space="preserve">these assessments the MPE will hold a tender process inviting international companies to submit expressions of interest to construct the facility. Construction is expected to take between 3 and 5 years. (Source: </w:t>
      </w:r>
      <w:hyperlink r:id="rId8">
        <w:r>
          <w:rPr>
            <w:i/>
          </w:rPr>
          <w:t>https://www.mmtimes.com/news/government-reveals-plans-build-first-modern-oil-refinery-myanmar.html</w:t>
        </w:r>
      </w:hyperlink>
      <w:r>
        <w:t>; 11 APR 2018)</w:t>
      </w:r>
    </w:p>
    <w:p w:rsidR="00E00C5B" w:rsidRDefault="00320DA7">
      <w:pPr>
        <w:pStyle w:val="BodyText"/>
      </w:pPr>
      <w:r>
        <w:rPr>
          <w:b/>
        </w:rPr>
        <w:t>Yoma Bank and Maha Agriculture to support lending to microfinance ins</w:t>
      </w:r>
      <w:r>
        <w:rPr>
          <w:b/>
        </w:rPr>
        <w:t>titutions</w:t>
      </w:r>
    </w:p>
    <w:p w:rsidR="00E00C5B" w:rsidRDefault="00320DA7">
      <w:pPr>
        <w:pStyle w:val="BodyText"/>
      </w:pPr>
      <w:r>
        <w:t>Yoma Bank Limited (</w:t>
      </w:r>
      <w:r>
        <w:rPr>
          <w:b/>
        </w:rPr>
        <w:t>Yoma</w:t>
      </w:r>
      <w:r>
        <w:t>) and local microfinance institution Maha Agriculture Public Co Limited (</w:t>
      </w:r>
      <w:r>
        <w:rPr>
          <w:b/>
        </w:rPr>
        <w:t>Maha</w:t>
      </w:r>
      <w:r>
        <w:t>) have announced the completion of a Kyats 3.5 billion (or approximately US$2.6 million) funding agreement to support Maha’s lending activities in</w:t>
      </w:r>
      <w:r>
        <w:t xml:space="preserve"> Myanmar.  The agreement will enable Maha extend its services to an additional 6,000 farming families helping them buy fertilisers, seeds and other agricultural inputs. It will also lend to smaller microfinance enterprises in support of their lending activ</w:t>
      </w:r>
      <w:r>
        <w:t>ities. Maha currently services 10,000 farming families across Myanmar and has an aggregate loan book value of Kyat 7 billion (or approximately US$5.2 million).  According to Maha CEO Mr. Matteo Marinelli, Maha “aims to provide smaller unsecured loans to fa</w:t>
      </w:r>
      <w:r>
        <w:t>rmers, vendors and micro enterprises.”  The financing agreement will incorporate the lending standards of Yoma’s Agribusiness Finance Program (</w:t>
      </w:r>
      <w:r>
        <w:rPr>
          <w:b/>
        </w:rPr>
        <w:t>AFP</w:t>
      </w:r>
      <w:r>
        <w:t>) which facilitates investment in Myanmar’s agricultural sector via its Livelihoods and Food Security Trust Fu</w:t>
      </w:r>
      <w:r>
        <w:t xml:space="preserve">nd.  The AFP relaxes fixed collateral requirements and focuses on cash flow-based lending. (Source: </w:t>
      </w:r>
      <w:hyperlink r:id="rId9">
        <w:r>
          <w:rPr>
            <w:i/>
          </w:rPr>
          <w:t>https://www.mmtimes.com/news/yoma-bank-maha-agr</w:t>
        </w:r>
        <w:r>
          <w:rPr>
            <w:i/>
          </w:rPr>
          <w:t>iculture-support-lending-microfinance.html</w:t>
        </w:r>
      </w:hyperlink>
      <w:r>
        <w:t>; 11 APR 2018)</w:t>
      </w:r>
    </w:p>
    <w:p w:rsidR="00E00C5B" w:rsidRDefault="00320DA7">
      <w:pPr>
        <w:pStyle w:val="BodyText"/>
      </w:pPr>
      <w:r>
        <w:rPr>
          <w:b/>
        </w:rPr>
        <w:t>Myanmar’s Ministry of Electricity and Energy to review terms and conditions of onshore oil and gas contracts</w:t>
      </w:r>
    </w:p>
    <w:p w:rsidR="00E00C5B" w:rsidRDefault="00320DA7">
      <w:pPr>
        <w:pStyle w:val="BodyText"/>
      </w:pPr>
      <w:r>
        <w:t>The Ministry of Electricity and Energy (</w:t>
      </w:r>
      <w:r>
        <w:rPr>
          <w:b/>
        </w:rPr>
        <w:t>MOEE</w:t>
      </w:r>
      <w:r>
        <w:t>) will review and revise certain of the standa</w:t>
      </w:r>
      <w:r>
        <w:t>rd terms and conditions of its onshore oil and gas contracts (</w:t>
      </w:r>
      <w:r>
        <w:rPr>
          <w:b/>
        </w:rPr>
        <w:t>PSC’s</w:t>
      </w:r>
      <w:r>
        <w:t xml:space="preserve">) prior to inviting bids as part of its next </w:t>
      </w:r>
      <w:r>
        <w:lastRenderedPageBreak/>
        <w:t>onshore tender round.  The Government will invite international oil and gas companies to provide recommendations and feedback on the revised PSC</w:t>
      </w:r>
      <w:r>
        <w:t>’s.  International investors have expressed dissatisfaction with certain of the existing terms and conditions in particular to the requirement to pay expressive compensation for the use of farm land to conduct exploratory drilling.  It is expected contract</w:t>
      </w:r>
      <w:r>
        <w:t>s the terms and conditions will be amended to bring Myanmar PSC’s in-line with international standards which reflect the capital-intensive nature and high risks involved in oil and gas exploration. The MOEE will consult with the Ministry of Planning and Fi</w:t>
      </w:r>
      <w:r>
        <w:t xml:space="preserve">nance in relation to the possibility of offering international investors additional tax incentives.  (Source: </w:t>
      </w:r>
      <w:hyperlink r:id="rId10">
        <w:r>
          <w:t>https://www.mmtimes.com/news/next-round-o</w:t>
        </w:r>
        <w:r>
          <w:t>il-and-gas-tenders-be-held-after-review.html</w:t>
        </w:r>
      </w:hyperlink>
      <w:r>
        <w:t xml:space="preserve"> ; 9 April 2018)</w:t>
      </w:r>
    </w:p>
    <w:p w:rsidR="00E00C5B" w:rsidRDefault="00320DA7">
      <w:pPr>
        <w:pStyle w:val="BodyText"/>
      </w:pPr>
      <w:r>
        <w:rPr>
          <w:b/>
        </w:rPr>
        <w:t>Myanmar’s Oway Group raises US$14.7m from the IFC, Daiwa and others</w:t>
      </w:r>
    </w:p>
    <w:p w:rsidR="00E00C5B" w:rsidRDefault="00320DA7">
      <w:pPr>
        <w:pStyle w:val="BodyText"/>
      </w:pPr>
      <w:r>
        <w:t>Myanmar’s Oway Group (</w:t>
      </w:r>
      <w:r>
        <w:rPr>
          <w:b/>
        </w:rPr>
        <w:t>Oway</w:t>
      </w:r>
      <w:r>
        <w:t xml:space="preserve">) has raised US$14.7 million from a number of international investors including Daiwa PI Partners Co </w:t>
      </w:r>
      <w:r>
        <w:t>Limited (</w:t>
      </w:r>
      <w:r>
        <w:rPr>
          <w:b/>
        </w:rPr>
        <w:t>Daiwa</w:t>
      </w:r>
      <w:r>
        <w:t>) and the International Finance Corporation. Daiwa PI Partners, a subsidiary of Japan’s Daiwa Securities Group, contributed US$5 million in exchange for a stake in Oway Pte Limited. The investment marks Daiwa PI’s second private equity invest</w:t>
      </w:r>
      <w:r>
        <w:t>ment in Myanmar. Other investors include the Belt and Road Investment Group, the NSI Ventures Group and the Cambodia-Laos-Myanmar Development Fund II LP, a fund managed by Emerging Markets Investment Advisers Group Holding. Daiwa stated it expects demand f</w:t>
      </w:r>
      <w:r>
        <w:t>or both online travel and ride-hailing services in Myanmar to soar on the back of growing middle-class affluence and changing lifestyles and aspirations. Oway is preparing to launch its mobile booking app which will initially focus on flight reservations a</w:t>
      </w:r>
      <w:r>
        <w:t>nd later expand into hotels and other services.  Oway also proposes to launch a digital payments service ‘Oway Pay’ in the next few months. Myanmar’s smartphone penetration rate has risen rapidly following the liberalisation of the telecom sector was opene</w:t>
      </w:r>
      <w:r>
        <w:t xml:space="preserve">d up to foreign players in 2014. This has spurred demand for consumer internet services such as ride-hailing in the country. (Source: </w:t>
      </w:r>
      <w:hyperlink r:id="rId11">
        <w:r>
          <w:rPr>
            <w:i/>
          </w:rPr>
          <w:t>https://www.dealstreetasia.com/stories/owa</w:t>
        </w:r>
        <w:r>
          <w:rPr>
            <w:i/>
          </w:rPr>
          <w:t>y-daiwa-ifc-95962/</w:t>
        </w:r>
      </w:hyperlink>
      <w:r>
        <w:t>; 11 April 2018)</w:t>
      </w:r>
    </w:p>
    <w:p w:rsidR="00E00C5B" w:rsidRDefault="00320DA7">
      <w:pPr>
        <w:pStyle w:val="BodyText"/>
      </w:pPr>
      <w:r>
        <w:rPr>
          <w:b/>
        </w:rPr>
        <w:t>Great Hor Kham to enter into power purchasing agreement with Myanmar Government ahead of proposed IPO on the Yangon Stock Exchange</w:t>
      </w:r>
    </w:p>
    <w:p w:rsidR="00E00C5B" w:rsidRDefault="00320DA7">
      <w:pPr>
        <w:pStyle w:val="BodyText"/>
      </w:pPr>
      <w:r>
        <w:t>Myanmar engineering company Great Hor Kham Public Company Limited (</w:t>
      </w:r>
      <w:r>
        <w:rPr>
          <w:b/>
        </w:rPr>
        <w:t>Great Hor Kham</w:t>
      </w:r>
      <w:r>
        <w:t>) has ann</w:t>
      </w:r>
      <w:r>
        <w:t>ounced it is in the process of finalising a power purchasing agreement with the Myanmar Government and intends to apply to list on the Yangon Stock Exchange (</w:t>
      </w:r>
      <w:r>
        <w:rPr>
          <w:b/>
        </w:rPr>
        <w:t>YSX</w:t>
      </w:r>
      <w:r>
        <w:t>) before the end of 2018 to raise a proportion of the funds required to develop a 20MW hydropow</w:t>
      </w:r>
      <w:r>
        <w:t>er project in Muse, Shan State.  Great Hor Kham has previously entered into a BOT Agreement (build, operate and transfer) with the Myanmar Government and received Myanmar Investment Commission approval.  It is anticipated the project will cost between US$3</w:t>
      </w:r>
      <w:r>
        <w:t xml:space="preserve">5 - 40 million. The company hopes to raise Kyats 20 billion (or approximately US$15 million) from its YSX listing and secure loan finance of approximately US$13 million. (Source: </w:t>
      </w:r>
      <w:hyperlink r:id="rId12">
        <w:r>
          <w:rPr>
            <w:i/>
          </w:rPr>
          <w:t>https://www.dealstreetasia.com/stories/myanmar-digest-great-hor-kham-to-finalize-ppa-this-april-eyes-ipo-this-year-yangon-i</w:t>
        </w:r>
        <w:r>
          <w:rPr>
            <w:i/>
          </w:rPr>
          <w:t>ndustrial-gas-thilawa-preps-for-14-354m-industrial-gas-plant-95872/</w:t>
        </w:r>
      </w:hyperlink>
      <w:r>
        <w:t>; 10 April 2018)</w:t>
      </w:r>
    </w:p>
    <w:p w:rsidR="00E00C5B" w:rsidRDefault="00320DA7">
      <w:pPr>
        <w:pStyle w:val="BodyText"/>
      </w:pPr>
      <w:r>
        <w:rPr>
          <w:b/>
        </w:rPr>
        <w:t>Yangon Industrial Gas to invest US$14.3 million in Thilawa SEZ production facility</w:t>
      </w:r>
    </w:p>
    <w:p w:rsidR="00E00C5B" w:rsidRDefault="00320DA7">
      <w:pPr>
        <w:pStyle w:val="BodyText"/>
      </w:pPr>
      <w:r>
        <w:t>Yangon Industrial Gas (Thilawa) Co Limited (</w:t>
      </w:r>
      <w:r>
        <w:rPr>
          <w:b/>
        </w:rPr>
        <w:t>YIG Thilawa</w:t>
      </w:r>
      <w:r>
        <w:t>) is to invest approximately US$14</w:t>
      </w:r>
      <w:r>
        <w:t>.3 million to establish a manufacturing facility in the Thilawa Special Economic Zone (</w:t>
      </w:r>
      <w:r>
        <w:rPr>
          <w:b/>
        </w:rPr>
        <w:t>Thilawa SEZ</w:t>
      </w:r>
      <w:r>
        <w:t>). Yangon Industrial Gas is a joint venture between Myanmar’s Yangon Industrial Gas Limited (</w:t>
      </w:r>
      <w:r>
        <w:rPr>
          <w:b/>
        </w:rPr>
        <w:t>YIG</w:t>
      </w:r>
      <w:r>
        <w:t>) and Thailand’s Bangkok Industrial Gas Co Limited (</w:t>
      </w:r>
      <w:r>
        <w:rPr>
          <w:b/>
        </w:rPr>
        <w:t>BIG</w:t>
      </w:r>
      <w:r>
        <w:t>).  BIG</w:t>
      </w:r>
      <w:r>
        <w:t xml:space="preserve"> is a joint venture between a number of Thai investors (including Bangkok Bank Public Co Ltd) and leading global industrial gas company Air Products and Chemicals Inc. The facility will manufacture oxygen, nitrogen and argon for the domestic market. Founde</w:t>
      </w:r>
      <w:r>
        <w:t xml:space="preserve">d in 2011, YIG initially operated as an importer of ultra-high purity gas utilised by research centers.  (Source:  </w:t>
      </w:r>
      <w:hyperlink r:id="rId13">
        <w:r>
          <w:rPr>
            <w:i/>
          </w:rPr>
          <w:t>https://www.dealstreetasia.com/stories/myanmar-</w:t>
        </w:r>
        <w:r>
          <w:rPr>
            <w:i/>
          </w:rPr>
          <w:lastRenderedPageBreak/>
          <w:t>digest-great-hor-kham-to-finalize-ppa-this-april-eyes-ipo-this-year-yangon-industrial-gas-thilawa-preps-for-14-354m-industrial-gas-plant-958</w:t>
        </w:r>
        <w:r>
          <w:rPr>
            <w:i/>
          </w:rPr>
          <w:t>72/</w:t>
        </w:r>
      </w:hyperlink>
      <w:r>
        <w:rPr>
          <w:i/>
        </w:rPr>
        <w:t>;</w:t>
      </w:r>
      <w:r>
        <w:t xml:space="preserve"> 10 April 2018)</w:t>
      </w:r>
    </w:p>
    <w:p w:rsidR="00E00C5B" w:rsidRDefault="00320DA7">
      <w:pPr>
        <w:pStyle w:val="BodyText"/>
      </w:pPr>
      <w:r>
        <w:rPr>
          <w:b/>
        </w:rPr>
        <w:t>Microsoft Corp seeks expansion opportunities in Myanmar’s banking sector</w:t>
      </w:r>
    </w:p>
    <w:p w:rsidR="00E00C5B" w:rsidRDefault="00320DA7">
      <w:pPr>
        <w:pStyle w:val="BodyText"/>
      </w:pPr>
      <w:r>
        <w:t>Microsoft Corp (</w:t>
      </w:r>
      <w:r>
        <w:rPr>
          <w:b/>
        </w:rPr>
        <w:t>Microsoft</w:t>
      </w:r>
      <w:r>
        <w:t>) has announced it is seeking expansion opportunities in Myanmar’s banking, technology and digital sectors.  In March 2018 Microsoft hoste</w:t>
      </w:r>
      <w:r>
        <w:t>d a conference in Yangon on key issues affecting business efficiency, digital culture change and better meeting customer needs. According to Mr. Bin Ru Tan, Microsoft’s Regional Sales Director for South East Asia New Microsoft’s services including artifici</w:t>
      </w:r>
      <w:r>
        <w:t>al intelligence, big-data analytics and cloud computing can revolutionise Myanmar’s banking and financial services industry.  Mr. Tan added Microsoft wishes to help banks grow with its powerful business tools and software and also encourage other businesse</w:t>
      </w:r>
      <w:r>
        <w:t xml:space="preserve">s to work with Microsoft to develop a solution that works for them. Microsoft first commenced operations in Myanmar in 2016. (Source:  </w:t>
      </w:r>
      <w:hyperlink r:id="rId14">
        <w:r>
          <w:rPr>
            <w:i/>
          </w:rPr>
          <w:t>https://www.mmtimes.com/news/microsoft-seeks-expansion-opportunities-banking-sector.html</w:t>
        </w:r>
      </w:hyperlink>
      <w:r>
        <w:rPr>
          <w:i/>
        </w:rPr>
        <w:t>;</w:t>
      </w:r>
      <w:r>
        <w:t xml:space="preserve"> 4 April 2018)</w:t>
      </w:r>
    </w:p>
    <w:p w:rsidR="00E00C5B" w:rsidRDefault="00320DA7">
      <w:pPr>
        <w:pStyle w:val="DisclaimerBold"/>
      </w:pPr>
      <w:r>
        <w:t>This newsletter is for information purposes only.</w:t>
      </w:r>
    </w:p>
    <w:p w:rsidR="00E00C5B" w:rsidRDefault="00320DA7">
      <w:pPr>
        <w:pStyle w:val="Disclaimer"/>
      </w:pPr>
      <w:r>
        <w:t>Its contents do not constitute legal advice and it should  not be regarded as a substitute for detaile</w:t>
      </w:r>
      <w:r>
        <w:t>d advice  in individual cases.</w:t>
      </w:r>
    </w:p>
    <w:p w:rsidR="00E00C5B" w:rsidRDefault="00320DA7">
      <w:pPr>
        <w:pStyle w:val="Disclaimer"/>
      </w:pPr>
      <w:r>
        <w:t>Transmission of this information is not intended to create and receipt does not constitute a lawyer-client relationship between Charltons and the user or browser.</w:t>
      </w:r>
    </w:p>
    <w:p w:rsidR="00E00C5B" w:rsidRDefault="00320DA7">
      <w:pPr>
        <w:pStyle w:val="Disclaimer"/>
      </w:pPr>
      <w:r>
        <w:t>Charltons is not responsible for any third party content which</w:t>
      </w:r>
      <w:r>
        <w:t xml:space="preserve"> can be accessed through the website.</w:t>
      </w:r>
    </w:p>
    <w:p w:rsidR="00E00C5B" w:rsidRDefault="00320DA7">
      <w:pPr>
        <w:pStyle w:val="Disclaimer"/>
      </w:pPr>
      <w:r>
        <w:t xml:space="preserve">If you do not wish to receive this newsletter please let us know by emailing us at  </w:t>
      </w:r>
      <w:hyperlink>
        <w:r>
          <w:t>unsubscribe@charltonslaw.com</w:t>
        </w:r>
      </w:hyperlink>
    </w:p>
    <w:p w:rsidR="00E00C5B" w:rsidRDefault="00320DA7">
      <w:pPr>
        <w:pStyle w:val="BlackStrips"/>
      </w:pPr>
      <w:r>
        <w:t>Charltons - Myanmar Highlights - 18 April 2018</w:t>
      </w:r>
    </w:p>
    <w:sectPr w:rsidR="00E00C5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0DA7">
      <w:pPr>
        <w:spacing w:after="0"/>
      </w:pPr>
      <w:r>
        <w:separator/>
      </w:r>
    </w:p>
  </w:endnote>
  <w:endnote w:type="continuationSeparator" w:id="0">
    <w:p w:rsidR="00000000" w:rsidRDefault="00320D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C5B" w:rsidRDefault="00320DA7">
      <w:r>
        <w:separator/>
      </w:r>
    </w:p>
  </w:footnote>
  <w:footnote w:type="continuationSeparator" w:id="0">
    <w:p w:rsidR="00E00C5B" w:rsidRDefault="00320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1122"/>
    <w:multiLevelType w:val="multilevel"/>
    <w:tmpl w:val="62107CC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1NDUzMLIwtDQxMjRS0lEKTi0uzszPAykwrAUA9BwAbCwAAAA="/>
  </w:docVars>
  <w:rsids>
    <w:rsidRoot w:val="00590D07"/>
    <w:rsid w:val="00011C8B"/>
    <w:rsid w:val="00320DA7"/>
    <w:rsid w:val="004E29B3"/>
    <w:rsid w:val="00590D07"/>
    <w:rsid w:val="00784D58"/>
    <w:rsid w:val="008D6863"/>
    <w:rsid w:val="00B86B75"/>
    <w:rsid w:val="00BC48D5"/>
    <w:rsid w:val="00C36279"/>
    <w:rsid w:val="00E00C5B"/>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government-reveals-plans-build-first-modern-oil-refinery-myanmar.html" TargetMode="External"/><Relationship Id="rId13" Type="http://schemas.openxmlformats.org/officeDocument/2006/relationships/hyperlink" Target="https://www.dealstreetasia.com/stories/myanmar-digest-great-hor-kham-to-finalize-ppa-this-april-eyes-ipo-this-year-yangon-industrial-gas-thilawa-preps-for-14-354m-industrial-gas-plant-9587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ealstreetasia.com/stories/myanmar-digest-great-hor-kham-to-finalize-ppa-this-april-eyes-ipo-this-year-yangon-industrial-gas-thilawa-preps-for-14-354m-industrial-gas-plant-9587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ealstreetasia.com/stories/oway-daiwa-ifc-9596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mtimes.com/news/next-round-oil-and-gas-tenders-be-held-after-review.html" TargetMode="External"/><Relationship Id="rId4" Type="http://schemas.openxmlformats.org/officeDocument/2006/relationships/settings" Target="settings.xml"/><Relationship Id="rId9" Type="http://schemas.openxmlformats.org/officeDocument/2006/relationships/hyperlink" Target="https://www.mmtimes.com/news/yoma-bank-maha-agriculture-support-lending-microfinance.html" TargetMode="External"/><Relationship Id="rId14" Type="http://schemas.openxmlformats.org/officeDocument/2006/relationships/hyperlink" Target="https://www.mmtimes.com/news/microsoft-seeks-expansion-opportunities-banking-sec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2018-04-18T08:58:00Z</dcterms:created>
  <dcterms:modified xsi:type="dcterms:W3CDTF">2018-04-18T09:00:00Z</dcterms:modified>
</cp:coreProperties>
</file>