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1A" w:rsidRDefault="009B51F1">
      <w:pPr>
        <w:pStyle w:val="BlackStrips"/>
      </w:pPr>
      <w:r>
        <w:t>Charltons - Myanmar Law - 19 June 2018</w:t>
      </w:r>
    </w:p>
    <w:p w:rsidR="0030181A" w:rsidRDefault="009B51F1">
      <w:pPr>
        <w:pStyle w:val="ReadOnline"/>
      </w:pPr>
      <w:hyperlink>
        <w:r>
          <w:t>online version</w:t>
        </w:r>
      </w:hyperlink>
    </w:p>
    <w:p w:rsidR="0030181A" w:rsidRDefault="009B51F1">
      <w:pPr>
        <w:pStyle w:val="Title"/>
      </w:pPr>
      <w:r>
        <w:t xml:space="preserve">Myanmar’s Ministry of Mines issues regulations implementing the 2015 Mines Rules and commences consultation on draft mining EIA Guidelines </w:t>
      </w:r>
    </w:p>
    <w:p w:rsidR="0030181A" w:rsidRDefault="009B51F1">
      <w:pPr>
        <w:pStyle w:val="FirstParagraph"/>
      </w:pPr>
      <w:r>
        <w:t>The Myanmar Government has belatedly issued rules implementing the 2015 Myanmar Mines Law (“</w:t>
      </w:r>
      <w:r>
        <w:rPr>
          <w:b/>
        </w:rPr>
        <w:t>2015</w:t>
      </w:r>
      <w:r>
        <w:t xml:space="preserve"> </w:t>
      </w:r>
      <w:r>
        <w:rPr>
          <w:b/>
        </w:rPr>
        <w:t>Mines Law</w:t>
      </w:r>
      <w:r>
        <w:t>”).</w:t>
      </w:r>
      <w:hyperlink w:anchor="_ftn1">
        <w:r>
          <w:t>[1]</w:t>
        </w:r>
      </w:hyperlink>
      <w:r>
        <w:t xml:space="preserve">  The 2015 Mines Law introduced a number of progressive legislative amendments intended to encourage international p</w:t>
      </w:r>
      <w:r>
        <w:t>articipation in Myanmar’s mining sector.  It establishes the framework in respect to the respective roles and responsibilities of the Ministry, the fiscal regime, mine operation and penalties for non-compliance with Myanmar mineral law. It applies to the m</w:t>
      </w:r>
      <w:r>
        <w:t>ining of all minerals, including precious and heavy metals as well as industrial minerals, but does not apply to the mining of gemstones which is governed by the Gemstone Law (1995). However, the absence of implementing regulations, it had a limited impact</w:t>
      </w:r>
      <w:r>
        <w:t xml:space="preserve"> on mining in Myanmar. </w:t>
      </w:r>
    </w:p>
    <w:p w:rsidR="0030181A" w:rsidRDefault="009B51F1">
      <w:pPr>
        <w:pStyle w:val="BodyText"/>
      </w:pPr>
      <w:r>
        <w:t>Notification No. 13/2018 (“</w:t>
      </w:r>
      <w:r>
        <w:rPr>
          <w:b/>
        </w:rPr>
        <w:t>2018 Mine Rules</w:t>
      </w:r>
      <w:r>
        <w:t>”) repeals the 1996 Mines Rules (“</w:t>
      </w:r>
      <w:r>
        <w:rPr>
          <w:b/>
        </w:rPr>
        <w:t>1996 Mines Rules</w:t>
      </w:r>
      <w:r>
        <w:t xml:space="preserve">”) the implementing provisions for the old 1994 Mines Law and provide clarification in respect to the operation of the 2015 Mines Law. They </w:t>
      </w:r>
      <w:r>
        <w:t>further set out procedural and administrative measures to be applied by Myanmar’s Ministry of Natural Resources and Environmental Conservation (“</w:t>
      </w:r>
      <w:r>
        <w:rPr>
          <w:b/>
        </w:rPr>
        <w:t>Ministry</w:t>
      </w:r>
      <w:r>
        <w:t>”). They set out criteria relevant to permit applications, the duties of permit holders, as well as rul</w:t>
      </w:r>
      <w:r>
        <w:t>es related to mine closure, safety, labour, accidents, inspection and environmental protection.</w:t>
      </w:r>
    </w:p>
    <w:p w:rsidR="0030181A" w:rsidRDefault="009B51F1">
      <w:pPr>
        <w:pStyle w:val="BodyText"/>
      </w:pPr>
      <w:r>
        <w:t>As of 30 April 2018, the Ministry had issued a total of 1,405 valid mining permits, of which 150 were for large-scale mines and 786 small-scale.  However, the M</w:t>
      </w:r>
      <w:r>
        <w:t>inistry has not issued any new mining permits in over two and half years. The Ministry adopted a temporary moratorium on the issue of permits to facilitate the drafting of the 2018 Mines Rules, which according to legislative timeframe, were scheduled to be</w:t>
      </w:r>
      <w:r>
        <w:t xml:space="preserve"> completed by 24 March 2016 (being within 90 days of the enactment of the 2015 Mines Law).  This moratorium is now expected to be lifted. </w:t>
      </w:r>
    </w:p>
    <w:p w:rsidR="0030181A" w:rsidRDefault="009B51F1">
      <w:pPr>
        <w:pStyle w:val="BodyText"/>
      </w:pPr>
      <w:r>
        <w:t>The 2018 Mine Rules sets out provisions in respect to the application process for the following permits:-.</w:t>
      </w:r>
    </w:p>
    <w:p w:rsidR="0030181A" w:rsidRDefault="009B51F1">
      <w:pPr>
        <w:pStyle w:val="Compact"/>
        <w:numPr>
          <w:ilvl w:val="0"/>
          <w:numId w:val="2"/>
        </w:numPr>
      </w:pPr>
      <w:r>
        <w:t>prospectin</w:t>
      </w:r>
      <w:r>
        <w:t>g permits;</w:t>
      </w:r>
      <w:hyperlink w:anchor="_ftn2">
        <w:r>
          <w:t>[2]</w:t>
        </w:r>
      </w:hyperlink>
    </w:p>
    <w:p w:rsidR="0030181A" w:rsidRDefault="009B51F1">
      <w:pPr>
        <w:pStyle w:val="Compact"/>
        <w:numPr>
          <w:ilvl w:val="0"/>
          <w:numId w:val="2"/>
        </w:numPr>
      </w:pPr>
      <w:r>
        <w:t>exploration permits;</w:t>
      </w:r>
      <w:hyperlink w:anchor="_ftn3">
        <w:r>
          <w:t>[3]</w:t>
        </w:r>
      </w:hyperlink>
    </w:p>
    <w:p w:rsidR="0030181A" w:rsidRDefault="009B51F1">
      <w:pPr>
        <w:pStyle w:val="Compact"/>
        <w:numPr>
          <w:ilvl w:val="0"/>
          <w:numId w:val="2"/>
        </w:numPr>
      </w:pPr>
      <w:r>
        <w:t>feasibility study permits;</w:t>
      </w:r>
      <w:hyperlink w:anchor="_ftn4">
        <w:r>
          <w:t>[4]</w:t>
        </w:r>
      </w:hyperlink>
    </w:p>
    <w:p w:rsidR="0030181A" w:rsidRDefault="009B51F1">
      <w:pPr>
        <w:pStyle w:val="Compact"/>
        <w:numPr>
          <w:ilvl w:val="0"/>
          <w:numId w:val="2"/>
        </w:numPr>
      </w:pPr>
      <w:r>
        <w:t>large-scale production permits;</w:t>
      </w:r>
      <w:hyperlink w:anchor="_ftn5">
        <w:r>
          <w:t>[5]</w:t>
        </w:r>
      </w:hyperlink>
    </w:p>
    <w:p w:rsidR="0030181A" w:rsidRDefault="009B51F1">
      <w:pPr>
        <w:pStyle w:val="Compact"/>
        <w:numPr>
          <w:ilvl w:val="0"/>
          <w:numId w:val="2"/>
        </w:numPr>
      </w:pPr>
      <w:r>
        <w:t>medium scale production permits</w:t>
      </w:r>
      <w:hyperlink w:anchor="_ftn6">
        <w:r>
          <w:t>[6]</w:t>
        </w:r>
      </w:hyperlink>
      <w:r>
        <w:t>;</w:t>
      </w:r>
    </w:p>
    <w:p w:rsidR="0030181A" w:rsidRDefault="009B51F1">
      <w:pPr>
        <w:pStyle w:val="Compact"/>
        <w:numPr>
          <w:ilvl w:val="0"/>
          <w:numId w:val="2"/>
        </w:numPr>
      </w:pPr>
      <w:r>
        <w:t>small scale production permits;</w:t>
      </w:r>
      <w:hyperlink w:anchor="_ftn7">
        <w:r>
          <w:t>[7]</w:t>
        </w:r>
      </w:hyperlink>
    </w:p>
    <w:p w:rsidR="0030181A" w:rsidRDefault="009B51F1">
      <w:pPr>
        <w:pStyle w:val="Compact"/>
        <w:numPr>
          <w:ilvl w:val="0"/>
          <w:numId w:val="2"/>
        </w:numPr>
      </w:pPr>
      <w:r>
        <w:t>subsistence scale production permits;</w:t>
      </w:r>
      <w:hyperlink w:anchor="_ftn8">
        <w:r>
          <w:t>[8]</w:t>
        </w:r>
      </w:hyperlink>
    </w:p>
    <w:p w:rsidR="0030181A" w:rsidRDefault="009B51F1">
      <w:pPr>
        <w:pStyle w:val="Compact"/>
        <w:numPr>
          <w:ilvl w:val="0"/>
          <w:numId w:val="2"/>
        </w:numPr>
      </w:pPr>
      <w:r>
        <w:t>mineral treatment permits;</w:t>
      </w:r>
      <w:hyperlink w:anchor="_ftn9">
        <w:r>
          <w:t>[9]</w:t>
        </w:r>
      </w:hyperlink>
    </w:p>
    <w:p w:rsidR="0030181A" w:rsidRDefault="009B51F1">
      <w:pPr>
        <w:pStyle w:val="Compact"/>
        <w:numPr>
          <w:ilvl w:val="0"/>
          <w:numId w:val="2"/>
        </w:numPr>
      </w:pPr>
      <w:r>
        <w:t>mineral trading permits; and</w:t>
      </w:r>
    </w:p>
    <w:p w:rsidR="0030181A" w:rsidRDefault="009B51F1">
      <w:pPr>
        <w:pStyle w:val="Compact"/>
        <w:numPr>
          <w:ilvl w:val="0"/>
          <w:numId w:val="2"/>
        </w:numPr>
      </w:pPr>
      <w:r>
        <w:t>Integrated ope</w:t>
      </w:r>
      <w:r>
        <w:t>rations permits, (i.e. a licence permitting a combination of the three of the above regulated activities 1 - 9);</w:t>
      </w:r>
      <w:hyperlink w:anchor="_ftn10">
        <w:r>
          <w:t>[10]</w:t>
        </w:r>
      </w:hyperlink>
    </w:p>
    <w:p w:rsidR="0030181A" w:rsidRDefault="009B51F1">
      <w:pPr>
        <w:pStyle w:val="FirstParagraph"/>
      </w:pPr>
      <w:r>
        <w:rPr>
          <w:b/>
        </w:rPr>
        <w:t>Tenure</w:t>
      </w:r>
    </w:p>
    <w:p w:rsidR="0030181A" w:rsidRDefault="009B51F1">
      <w:pPr>
        <w:pStyle w:val="BodyText"/>
      </w:pPr>
      <w:r>
        <w:lastRenderedPageBreak/>
        <w:t>The 2018 Mine Rules provide certainty of tenure by granting an automatic right to mineral permit holder</w:t>
      </w:r>
      <w:r>
        <w:t>s to progress from one permit type to another conditional on the mineral permit holder being in compliance with the general provisions of the 2015 Mines Law.</w:t>
      </w:r>
    </w:p>
    <w:p w:rsidR="0030181A" w:rsidRDefault="009B51F1">
      <w:pPr>
        <w:pStyle w:val="BodyText"/>
      </w:pPr>
      <w:r>
        <w:t>The 2018 Mines Rules stipulate the maximum area and minimum and maximum tenure for each category o</w:t>
      </w:r>
      <w:r>
        <w:t>f mineral permit.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4"/>
        <w:gridCol w:w="2552"/>
        <w:gridCol w:w="2552"/>
      </w:tblGrid>
      <w:tr w:rsidR="009B51F1" w:rsidRPr="009B51F1" w:rsidTr="009B51F1">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Size – Large scale projects </w:t>
            </w:r>
            <w:r w:rsidRPr="009B51F1">
              <w:rPr>
                <w:rFonts w:ascii="Helvetica" w:eastAsia="Times New Roman" w:hAnsi="Helvetica" w:cs="Helvetica"/>
                <w:color w:val="000000"/>
              </w:rPr>
              <w:t>(maximum)</w:t>
            </w:r>
          </w:p>
        </w:tc>
      </w:tr>
      <w:tr w:rsidR="009B51F1" w:rsidRPr="009B51F1" w:rsidTr="009B51F1">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1996 MINES RULES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2018 MINES RULES</w:t>
            </w:r>
          </w:p>
        </w:tc>
      </w:tr>
      <w:tr w:rsidR="009B51F1" w:rsidRPr="009B51F1" w:rsidTr="009B51F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Prospecting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4,200 km sq.</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2,100 km sq.</w:t>
            </w:r>
          </w:p>
        </w:tc>
      </w:tr>
      <w:tr w:rsidR="009B51F1" w:rsidRPr="009B51F1" w:rsidTr="009B51F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Exploration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line="270" w:lineRule="atLeast"/>
              <w:textAlignment w:val="baseline"/>
              <w:rPr>
                <w:rFonts w:ascii="Helvetica" w:eastAsia="Times New Roman" w:hAnsi="Helvetica" w:cs="Helvetica"/>
                <w:color w:val="000000"/>
              </w:rPr>
            </w:pPr>
            <w:r w:rsidRPr="009B51F1">
              <w:rPr>
                <w:rFonts w:ascii="Helvetica" w:eastAsia="Times New Roman" w:hAnsi="Helvetica" w:cs="Helvetica"/>
                <w:color w:val="000000"/>
              </w:rPr>
              <w:t>3,150 km sq.</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line="270" w:lineRule="atLeast"/>
              <w:textAlignment w:val="baseline"/>
              <w:rPr>
                <w:rFonts w:ascii="Helvetica" w:eastAsia="Times New Roman" w:hAnsi="Helvetica" w:cs="Helvetica"/>
                <w:color w:val="000000"/>
              </w:rPr>
            </w:pPr>
            <w:r w:rsidRPr="009B51F1">
              <w:rPr>
                <w:rFonts w:ascii="Helvetica" w:eastAsia="Times New Roman" w:hAnsi="Helvetica" w:cs="Helvetica"/>
                <w:color w:val="000000"/>
              </w:rPr>
              <w:t>2,100 km sq.</w:t>
            </w:r>
          </w:p>
        </w:tc>
      </w:tr>
      <w:tr w:rsidR="009B51F1" w:rsidRPr="009B51F1" w:rsidTr="009B51F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Feasibility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,100 km sq.</w:t>
            </w:r>
          </w:p>
        </w:tc>
      </w:tr>
    </w:tbl>
    <w:p w:rsidR="009B51F1" w:rsidRPr="009B51F1" w:rsidRDefault="009B51F1" w:rsidP="009B51F1">
      <w:pPr>
        <w:spacing w:after="0" w:line="270" w:lineRule="atLeast"/>
        <w:textAlignment w:val="baseline"/>
        <w:rPr>
          <w:rFonts w:ascii="Helvetica" w:eastAsia="Times New Roman" w:hAnsi="Helvetica" w:cs="Helvetica"/>
          <w:color w:val="000000"/>
        </w:rPr>
      </w:pPr>
      <w:r w:rsidRPr="009B51F1">
        <w:rPr>
          <w:rFonts w:ascii="Helvetica" w:eastAsia="Times New Roman" w:hAnsi="Helvetica" w:cs="Helvetica"/>
          <w:color w:val="000000"/>
        </w:rPr>
        <w:t> </w:t>
      </w:r>
    </w:p>
    <w:tbl>
      <w:tblPr>
        <w:tblW w:w="5000" w:type="pct"/>
        <w:tblBorders>
          <w:top w:val="outset" w:sz="6" w:space="0" w:color="auto"/>
          <w:left w:val="outset" w:sz="6" w:space="0" w:color="auto"/>
          <w:bottom w:val="outset" w:sz="6" w:space="0" w:color="auto"/>
          <w:right w:val="outset" w:sz="6" w:space="0" w:color="auto"/>
        </w:tblBorders>
        <w:shd w:val="clear" w:color="auto" w:fill="000000"/>
        <w:tblCellMar>
          <w:top w:w="15" w:type="dxa"/>
          <w:left w:w="15" w:type="dxa"/>
          <w:bottom w:w="15" w:type="dxa"/>
          <w:right w:w="15" w:type="dxa"/>
        </w:tblCellMar>
        <w:tblLook w:val="04A0" w:firstRow="1" w:lastRow="0" w:firstColumn="1" w:lastColumn="0" w:noHBand="0" w:noVBand="1"/>
      </w:tblPr>
      <w:tblGrid>
        <w:gridCol w:w="5104"/>
        <w:gridCol w:w="2385"/>
        <w:gridCol w:w="2719"/>
      </w:tblGrid>
      <w:tr w:rsidR="009B51F1" w:rsidRPr="009B51F1" w:rsidTr="009B51F1">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LICENCE TENURE </w:t>
            </w:r>
            <w:r w:rsidRPr="009B51F1">
              <w:rPr>
                <w:rFonts w:ascii="Helvetica" w:eastAsia="Times New Roman" w:hAnsi="Helvetica" w:cs="Helvetica"/>
                <w:color w:val="000000"/>
              </w:rPr>
              <w:t>(yrs.)</w:t>
            </w:r>
          </w:p>
        </w:tc>
      </w:tr>
      <w:tr w:rsidR="009B51F1" w:rsidRPr="009B51F1" w:rsidTr="009B51F1">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1996 Mines Rules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2018 Mines Rules</w:t>
            </w:r>
            <w:bookmarkStart w:id="0" w:name="_ftnref11"/>
            <w:r w:rsidRPr="009B51F1">
              <w:rPr>
                <w:rFonts w:ascii="Helvetica" w:eastAsia="Times New Roman" w:hAnsi="Helvetica" w:cs="Helvetica"/>
                <w:b/>
                <w:bCs/>
                <w:color w:val="1C1C1C"/>
                <w:bdr w:val="none" w:sz="0" w:space="0" w:color="auto" w:frame="1"/>
              </w:rPr>
              <w:fldChar w:fldCharType="begin"/>
            </w:r>
            <w:r w:rsidRPr="009B51F1">
              <w:rPr>
                <w:rFonts w:ascii="Helvetica" w:eastAsia="Times New Roman" w:hAnsi="Helvetica" w:cs="Helvetica"/>
                <w:b/>
                <w:bCs/>
                <w:color w:val="1C1C1C"/>
                <w:bdr w:val="none" w:sz="0" w:space="0" w:color="auto" w:frame="1"/>
              </w:rPr>
              <w:instrText xml:space="preserve"> HYPERLINK "https://www.charltonsmyanmar.com/?p=10347&amp;preview=true" \l "_ftn11" </w:instrText>
            </w:r>
            <w:r w:rsidRPr="009B51F1">
              <w:rPr>
                <w:rFonts w:ascii="Helvetica" w:eastAsia="Times New Roman" w:hAnsi="Helvetica" w:cs="Helvetica"/>
                <w:b/>
                <w:bCs/>
                <w:color w:val="1C1C1C"/>
                <w:bdr w:val="none" w:sz="0" w:space="0" w:color="auto" w:frame="1"/>
              </w:rPr>
              <w:fldChar w:fldCharType="separate"/>
            </w:r>
            <w:r w:rsidRPr="009B51F1">
              <w:rPr>
                <w:rFonts w:ascii="Helvetica" w:eastAsia="Times New Roman" w:hAnsi="Helvetica" w:cs="Helvetica"/>
                <w:b/>
                <w:bCs/>
                <w:color w:val="1C1C1C"/>
                <w:bdr w:val="none" w:sz="0" w:space="0" w:color="auto" w:frame="1"/>
                <w:vertAlign w:val="superscript"/>
              </w:rPr>
              <w:t>[11]</w:t>
            </w:r>
            <w:r w:rsidRPr="009B51F1">
              <w:rPr>
                <w:rFonts w:ascii="Helvetica" w:eastAsia="Times New Roman" w:hAnsi="Helvetica" w:cs="Helvetica"/>
                <w:b/>
                <w:bCs/>
                <w:color w:val="1C1C1C"/>
                <w:bdr w:val="none" w:sz="0" w:space="0" w:color="auto" w:frame="1"/>
              </w:rPr>
              <w:fldChar w:fldCharType="end"/>
            </w:r>
            <w:bookmarkEnd w:id="0"/>
          </w:p>
        </w:tc>
      </w:tr>
      <w:tr w:rsidR="009B51F1" w:rsidRPr="009B51F1" w:rsidTr="009B51F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Prospecting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2</w:t>
            </w:r>
          </w:p>
        </w:tc>
      </w:tr>
      <w:tr w:rsidR="009B51F1" w:rsidRPr="009B51F1" w:rsidTr="009B51F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Exploration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5</w:t>
            </w:r>
          </w:p>
        </w:tc>
      </w:tr>
      <w:tr w:rsidR="009B51F1" w:rsidRPr="009B51F1" w:rsidTr="009B51F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Feasibility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2</w:t>
            </w:r>
          </w:p>
        </w:tc>
      </w:tr>
      <w:tr w:rsidR="009B51F1" w:rsidRPr="009B51F1" w:rsidTr="009B51F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 xml:space="preserve">Total </w:t>
            </w:r>
            <w:proofErr w:type="spellStart"/>
            <w:r w:rsidRPr="009B51F1">
              <w:rPr>
                <w:rFonts w:ascii="Helvetica" w:eastAsia="Times New Roman" w:hAnsi="Helvetica" w:cs="Helvetica"/>
                <w:b/>
                <w:bCs/>
                <w:color w:val="1C1C1C"/>
                <w:bdr w:val="none" w:sz="0" w:space="0" w:color="auto" w:frame="1"/>
              </w:rPr>
              <w:t>licence</w:t>
            </w:r>
            <w:proofErr w:type="spellEnd"/>
            <w:r w:rsidRPr="009B51F1">
              <w:rPr>
                <w:rFonts w:ascii="Helvetica" w:eastAsia="Times New Roman" w:hAnsi="Helvetica" w:cs="Helvetica"/>
                <w:b/>
                <w:bCs/>
                <w:color w:val="1C1C1C"/>
                <w:bdr w:val="none" w:sz="0" w:space="0" w:color="auto" w:frame="1"/>
              </w:rPr>
              <w:t xml:space="preserve"> tenure pre-production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9</w:t>
            </w:r>
          </w:p>
        </w:tc>
      </w:tr>
      <w:tr w:rsidR="009B51F1" w:rsidRPr="009B51F1" w:rsidTr="009B51F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b/>
                <w:bCs/>
                <w:color w:val="1C1C1C"/>
                <w:bdr w:val="none" w:sz="0" w:space="0" w:color="auto" w:frame="1"/>
              </w:rPr>
              <w:t>Production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Up to 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B51F1" w:rsidRPr="009B51F1" w:rsidRDefault="009B51F1" w:rsidP="009B51F1">
            <w:pPr>
              <w:spacing w:after="0"/>
              <w:rPr>
                <w:rFonts w:ascii="Helvetica" w:eastAsia="Times New Roman" w:hAnsi="Helvetica" w:cs="Helvetica"/>
                <w:color w:val="000000"/>
              </w:rPr>
            </w:pPr>
            <w:r w:rsidRPr="009B51F1">
              <w:rPr>
                <w:rFonts w:ascii="Helvetica" w:eastAsia="Times New Roman" w:hAnsi="Helvetica" w:cs="Helvetica"/>
                <w:color w:val="000000"/>
              </w:rPr>
              <w:t>15 to 50</w:t>
            </w:r>
          </w:p>
        </w:tc>
      </w:tr>
    </w:tbl>
    <w:p w:rsidR="0030181A" w:rsidRDefault="009B51F1">
      <w:pPr>
        <w:pStyle w:val="BodyText"/>
      </w:pPr>
      <w:r>
        <w:t>Prospecting permits are granted for an initial period of one year and can be renewed once for an addition</w:t>
      </w:r>
      <w:r>
        <w:t>al year.  Explo</w:t>
      </w:r>
      <w:bookmarkStart w:id="1" w:name="_GoBack"/>
      <w:bookmarkEnd w:id="1"/>
      <w:r>
        <w:t>ration permits are granted for an initial period of three years (one year in the case of small-scale mining) and can be renewed twice for an additional year on each renewal.  Exploration permits are granted for one year and can be renewed tw</w:t>
      </w:r>
      <w:r>
        <w:t>ice for an additional year on each renewal.</w:t>
      </w:r>
    </w:p>
    <w:p w:rsidR="0030181A" w:rsidRDefault="009B51F1">
      <w:pPr>
        <w:pStyle w:val="BodyText"/>
      </w:pPr>
      <w:r>
        <w:t>The 2018 Mines Rules provide for an initial tenure of 15 years for large-scale production permits, and that subject to Ministry approval, a large-scale production permit may only be renewed for a maximum of 5 yea</w:t>
      </w:r>
      <w:r>
        <w:t>rs at a time. This will concern investors who aren’t guaranteed their permit with be renewed. </w:t>
      </w:r>
    </w:p>
    <w:p w:rsidR="0030181A" w:rsidRDefault="009B51F1">
      <w:pPr>
        <w:pStyle w:val="BodyText"/>
      </w:pPr>
      <w:r>
        <w:t xml:space="preserve">The 2018 Mine Rules provides that production permit holders will be permitted to conduct beneficiation and processing as well as mineral trading, without having </w:t>
      </w:r>
      <w:r>
        <w:t>to obtain any additional permits.</w:t>
      </w:r>
      <w:hyperlink w:anchor="_ftn12">
        <w:r>
          <w:t>[12]</w:t>
        </w:r>
      </w:hyperlink>
    </w:p>
    <w:p w:rsidR="0030181A" w:rsidRDefault="009B51F1">
      <w:pPr>
        <w:pStyle w:val="BodyText"/>
      </w:pPr>
      <w:r>
        <w:rPr>
          <w:b/>
        </w:rPr>
        <w:t>Obligations of mineral permit holders</w:t>
      </w:r>
    </w:p>
    <w:p w:rsidR="0030181A" w:rsidRDefault="009B51F1">
      <w:pPr>
        <w:pStyle w:val="BodyText"/>
      </w:pPr>
      <w:r>
        <w:t>The key obligations of mineral permit holders are set out in the 2015 Mines Law.  The 2018 Mines Rules expands on these obligations and contains measures to reinforce environmental protection and workers’ safety.   A mineral permit holder is obliged to:-</w:t>
      </w:r>
    </w:p>
    <w:p w:rsidR="0030181A" w:rsidRDefault="009B51F1">
      <w:pPr>
        <w:pStyle w:val="BodyText"/>
      </w:pPr>
      <w:r>
        <w:t> </w:t>
      </w:r>
    </w:p>
    <w:p w:rsidR="0030181A" w:rsidRDefault="009B51F1">
      <w:pPr>
        <w:pStyle w:val="Compact"/>
        <w:numPr>
          <w:ilvl w:val="0"/>
          <w:numId w:val="3"/>
        </w:numPr>
      </w:pPr>
      <w:r>
        <w:t>submit at the time of its application for a Production Permit evidence that it has undertaken negotiations with local communities with regard to local social responsibility and obtained their agreement in respect to any social responsibility plan(s) and/o</w:t>
      </w:r>
      <w:r>
        <w:t>r undertaking</w:t>
      </w:r>
      <w:hyperlink w:anchor="_ftn13">
        <w:r>
          <w:t>[13]</w:t>
        </w:r>
      </w:hyperlink>
    </w:p>
    <w:p w:rsidR="0030181A" w:rsidRDefault="009B51F1">
      <w:pPr>
        <w:pStyle w:val="Compact"/>
        <w:numPr>
          <w:ilvl w:val="0"/>
          <w:numId w:val="3"/>
        </w:numPr>
      </w:pPr>
      <w:r>
        <w:t>ensure they do not deprive or restrict any person(s) right or access to water or the quality of their water supply;</w:t>
      </w:r>
      <w:hyperlink w:anchor="_ftn14">
        <w:r>
          <w:t>[14]</w:t>
        </w:r>
      </w:hyperlink>
    </w:p>
    <w:p w:rsidR="0030181A" w:rsidRDefault="009B51F1">
      <w:pPr>
        <w:pStyle w:val="Compact"/>
        <w:numPr>
          <w:ilvl w:val="0"/>
          <w:numId w:val="3"/>
        </w:numPr>
      </w:pPr>
      <w:r>
        <w:t>adopt all measures necessary to ensure effective mine safety (from proper mine design to construction and provision of communication equipment);</w:t>
      </w:r>
      <w:hyperlink w:anchor="_ftn15">
        <w:r>
          <w:t>[15]</w:t>
        </w:r>
      </w:hyperlink>
    </w:p>
    <w:p w:rsidR="0030181A" w:rsidRDefault="009B51F1">
      <w:pPr>
        <w:pStyle w:val="Compact"/>
        <w:numPr>
          <w:ilvl w:val="0"/>
          <w:numId w:val="3"/>
        </w:numPr>
      </w:pPr>
      <w:r>
        <w:t xml:space="preserve">monitor, inspect and maintain the mine area (ensuring proper tools and mining </w:t>
      </w:r>
      <w:r>
        <w:t xml:space="preserve">equipment provided, the presence of fire emergency and medical equipment. The permit holder is </w:t>
      </w:r>
      <w:r>
        <w:lastRenderedPageBreak/>
        <w:t>responsible for ensuring medical treatment is provided to injured workers and for the cost of that medical treatment;</w:t>
      </w:r>
      <w:hyperlink w:anchor="_ftn16">
        <w:r>
          <w:t>[16]</w:t>
        </w:r>
      </w:hyperlink>
    </w:p>
    <w:p w:rsidR="0030181A" w:rsidRDefault="009B51F1">
      <w:pPr>
        <w:pStyle w:val="Compact"/>
        <w:numPr>
          <w:ilvl w:val="0"/>
          <w:numId w:val="3"/>
        </w:numPr>
      </w:pPr>
      <w:r>
        <w:t>appoint ad</w:t>
      </w:r>
      <w:r>
        <w:t>equate supervisory personnel, and provide a system whereby the names and locations of persons entering underground work sites can be determined at any time, and to draw up and implement disaster prevention measures and keep safety records;</w:t>
      </w:r>
      <w:hyperlink w:anchor="_ftn17">
        <w:r>
          <w:t>[17]</w:t>
        </w:r>
      </w:hyperlink>
    </w:p>
    <w:p w:rsidR="0030181A" w:rsidRDefault="009B51F1">
      <w:pPr>
        <w:pStyle w:val="Compact"/>
        <w:numPr>
          <w:ilvl w:val="0"/>
          <w:numId w:val="3"/>
        </w:numPr>
      </w:pPr>
      <w:r>
        <w:t>ensure all workers exposed to chemical or biological hazards are properly informed of the risks, to minimise the exposure to such hazards, and provide suitable personal protective equipment free of charge, and to arrange for free medical t</w:t>
      </w:r>
      <w:r>
        <w:t>reatment, and treatment in accordance with the Social Security Law; and</w:t>
      </w:r>
    </w:p>
    <w:p w:rsidR="0030181A" w:rsidRDefault="009B51F1">
      <w:pPr>
        <w:pStyle w:val="Compact"/>
        <w:numPr>
          <w:ilvl w:val="0"/>
          <w:numId w:val="3"/>
        </w:numPr>
      </w:pPr>
      <w:r>
        <w:t>prepare an emergency plan.</w:t>
      </w:r>
    </w:p>
    <w:p w:rsidR="0030181A" w:rsidRDefault="009B51F1">
      <w:pPr>
        <w:pStyle w:val="FirstParagraph"/>
      </w:pPr>
      <w:r>
        <w:t>The 2018 Mining Rules contains provisions mirroring those contained in the Environmental Conservation Law (2012), Environmental Conservation Rules (2014) and</w:t>
      </w:r>
      <w:r>
        <w:t xml:space="preserve"> The Myanmar Environmental Impact Assessment Procedures (2015).  The Mines Rules also state that permit holders shall be responsible for all expenses relating to environmental conservation. In this regard, the Mines Rules envisage permit holders to set-up </w:t>
      </w:r>
      <w:r>
        <w:t>an environmental conservation fund at a Myanmar state-owned bank, with the amount of contribution to be based on the relevant EMP for mineral exploration, mineral production and/or mineral processing.  The 2018 Mines Rules also provide that the permit hold</w:t>
      </w:r>
      <w:r>
        <w:t>ers shall separately contribute the prescribed fees to the Environmental Management Fund formed pursuant to the Environmental Conservation Law. Lastly, the permit holders must set-up and contribute to a mines closure fund at a Myanmar state-owned bank.</w:t>
      </w:r>
    </w:p>
    <w:p w:rsidR="0030181A" w:rsidRDefault="009B51F1">
      <w:pPr>
        <w:pStyle w:val="BodyText"/>
      </w:pPr>
      <w:r>
        <w:rPr>
          <w:b/>
        </w:rPr>
        <w:t>Rol</w:t>
      </w:r>
      <w:r>
        <w:rPr>
          <w:b/>
        </w:rPr>
        <w:t>e of Myanmar Investment Commission (“MIC”)</w:t>
      </w:r>
    </w:p>
    <w:p w:rsidR="0030181A" w:rsidRDefault="009B51F1">
      <w:pPr>
        <w:pStyle w:val="BodyText"/>
      </w:pPr>
      <w:r>
        <w:t>According to the Myanmar Investment Law (2016) (“</w:t>
      </w:r>
      <w:r>
        <w:rPr>
          <w:b/>
        </w:rPr>
        <w:t>MIL</w:t>
      </w:r>
      <w:r>
        <w:t>”), implement by the, Myanmar Investment Rules (2017) (“</w:t>
      </w:r>
      <w:r>
        <w:rPr>
          <w:b/>
        </w:rPr>
        <w:t>MIR</w:t>
      </w:r>
      <w:r>
        <w:t>”), projects having a significant impact on the environment and the local communities, are required to</w:t>
      </w:r>
      <w:r>
        <w:t xml:space="preserve"> obtain a permit from the MIC (“</w:t>
      </w:r>
      <w:r>
        <w:rPr>
          <w:b/>
        </w:rPr>
        <w:t>MIC Permit</w:t>
      </w:r>
      <w:r>
        <w:t>”).</w:t>
      </w:r>
      <w:hyperlink w:anchor="_ftn18">
        <w:r>
          <w:t>[18]</w:t>
        </w:r>
      </w:hyperlink>
      <w:r>
        <w:t xml:space="preserve"> If an investment is subject to the Law on the Rights of Protection of Ethnic Nationalities (2015), the MIC will consult with the relevant State or Regional Government or other s</w:t>
      </w:r>
      <w:r>
        <w:t>takeholders, when assessing an investment proposal and when attaching conditions to an MIC Permit.  The 2018 Mine Rules contain certain additional criteria which the MIC should be guided when assessing investment proposals, and which are intended to promot</w:t>
      </w:r>
      <w:r>
        <w:t>e responsible and sustainable investment in the mining sector.</w:t>
      </w:r>
    </w:p>
    <w:p w:rsidR="0030181A" w:rsidRDefault="009B51F1">
      <w:pPr>
        <w:pStyle w:val="BodyText"/>
      </w:pPr>
      <w:r>
        <w:t>The MIC should consider if the investor has demonstrated a commitment to carry out the investment in a responsible and sustainable manner, including by limiting any potentially adverse environm</w:t>
      </w:r>
      <w:r>
        <w:t>ental and social impacts; including environmental conservation actions, compliance with environmental conservation policies, human rights and application of effective technology for natural resources and waste management.</w:t>
      </w:r>
      <w:hyperlink w:anchor="_ftn19">
        <w:r>
          <w:t>[19]</w:t>
        </w:r>
      </w:hyperlink>
      <w:r>
        <w:t xml:space="preserve">  </w:t>
      </w:r>
      <w:r>
        <w:t>The MIC should further consider whether the investment is compatible with Myanmar’s national development, security, economic, social and cultural policies.</w:t>
      </w:r>
      <w:hyperlink w:anchor="_ftn20">
        <w:r>
          <w:t>[20]</w:t>
        </w:r>
      </w:hyperlink>
    </w:p>
    <w:p w:rsidR="0030181A" w:rsidRDefault="009B51F1">
      <w:pPr>
        <w:pStyle w:val="BodyText"/>
      </w:pPr>
      <w:r>
        <w:t>Under the MIL foreign investors can obtain a land use right of up t</w:t>
      </w:r>
      <w:r>
        <w:t xml:space="preserve">o 70 years. The 2018 Mines Rules state that when considering whether to grant extended land rights, the MIC should consider if the project requires any significant alternation of topography or elevation of the land that may cause a material adverse effect </w:t>
      </w:r>
      <w:r>
        <w:t>on the environment.</w:t>
      </w:r>
      <w:hyperlink w:anchor="_ftn21">
        <w:r>
          <w:t>[21]</w:t>
        </w:r>
      </w:hyperlink>
      <w:r>
        <w:t xml:space="preserve">  This provision is primarily for clarification purposes and unlikely to have any meaningful effect on mining companies, as the 70 year land use right available under the MIL, far exceeds the tenure of mi</w:t>
      </w:r>
      <w:r>
        <w:t>neral permits and the production life of most mineral assets.</w:t>
      </w:r>
    </w:p>
    <w:p w:rsidR="0030181A" w:rsidRDefault="009B51F1">
      <w:pPr>
        <w:pStyle w:val="BodyText"/>
      </w:pPr>
      <w:r>
        <w:t>Pursuant to the MIR, the MIC should consider whether an investor, its shareholders, and shareholders of its holding company and ultimate parent company are of good character and business reputat</w:t>
      </w:r>
      <w:r>
        <w:t>ion</w:t>
      </w:r>
      <w:hyperlink w:anchor="_ftn22">
        <w:r>
          <w:t>[22]</w:t>
        </w:r>
      </w:hyperlink>
      <w:r>
        <w:t xml:space="preserve">. The 2018 Mines Rules states that in considering whether this criterion is met, the MIC may consider an offence or other contravention of the law of the Union or in another </w:t>
      </w:r>
      <w:r>
        <w:lastRenderedPageBreak/>
        <w:t>jurisdiction, including any environmental, lab</w:t>
      </w:r>
      <w:r>
        <w:t>our, tax, anti-bribery and corruption or human rights law.</w:t>
      </w:r>
      <w:hyperlink w:anchor="_ftn23">
        <w:r>
          <w:t>[23]</w:t>
        </w:r>
      </w:hyperlink>
    </w:p>
    <w:p w:rsidR="0030181A" w:rsidRDefault="009B51F1">
      <w:pPr>
        <w:pStyle w:val="BodyText"/>
      </w:pPr>
      <w:r>
        <w:rPr>
          <w:b/>
        </w:rPr>
        <w:t>Permit application process and tendering procedure</w:t>
      </w:r>
    </w:p>
    <w:p w:rsidR="0030181A" w:rsidRDefault="009B51F1">
      <w:pPr>
        <w:pStyle w:val="BodyText"/>
      </w:pPr>
      <w:r>
        <w:rPr>
          <w:i/>
        </w:rPr>
        <w:t>Green-field permit applications - “first come, first served”</w:t>
      </w:r>
    </w:p>
    <w:p w:rsidR="0030181A" w:rsidRDefault="009B51F1">
      <w:pPr>
        <w:pStyle w:val="BodyText"/>
      </w:pPr>
      <w:r>
        <w:t> The 1996 Mines Rules were vague in respect to the a</w:t>
      </w:r>
      <w:r>
        <w:t>dministrative procedures which applied once a permit application was submitted.  In practice the Government adopted a “first come, first served” policy. The first application received in respect to a particular deposit was given priority over subsequent ap</w:t>
      </w:r>
      <w:r>
        <w:t>plications. The 2018 Mines Rules clarify that priority will be given to the first applicant only if the application is in respect to a green-field area, where exploration was not previously been conducted.</w:t>
      </w:r>
    </w:p>
    <w:p w:rsidR="0030181A" w:rsidRDefault="009B51F1">
      <w:pPr>
        <w:pStyle w:val="BodyText"/>
      </w:pPr>
      <w:r>
        <w:rPr>
          <w:i/>
        </w:rPr>
        <w:t>Competitive tenders</w:t>
      </w:r>
    </w:p>
    <w:p w:rsidR="0030181A" w:rsidRDefault="009B51F1">
      <w:pPr>
        <w:pStyle w:val="BodyText"/>
      </w:pPr>
      <w:r>
        <w:t>Pursuant to Rule 166 of the 20</w:t>
      </w:r>
      <w:r>
        <w:t xml:space="preserve">18 Mines Rules, the allocation of permits in respect to ‘known deposits’ will be decided by competitive tender.  Mining companies wishing to be participate in a the tender will be required to satisfy certain pre-conditions to be determined by the Ministry </w:t>
      </w:r>
      <w:r>
        <w:t>according to the mineral(s) to extracted, the size of the deposit, the anticipated costs of exploration and production, and mining technology.  This provision will go some way to help Myanmar comply with its obligations under The Extractive Industries Tran</w:t>
      </w:r>
      <w:r>
        <w:t>sparency Initiative (“</w:t>
      </w:r>
      <w:r>
        <w:rPr>
          <w:b/>
        </w:rPr>
        <w:t>EITI</w:t>
      </w:r>
      <w:r>
        <w:t>”).  The EITI sets out minimum standards in respect to transparency in the exploitation of natural resources internationally.</w:t>
      </w:r>
    </w:p>
    <w:p w:rsidR="0030181A" w:rsidRDefault="009B51F1">
      <w:pPr>
        <w:pStyle w:val="BodyText"/>
      </w:pPr>
      <w:r>
        <w:rPr>
          <w:b/>
        </w:rPr>
        <w:t>Transfer of licences</w:t>
      </w:r>
    </w:p>
    <w:p w:rsidR="0030181A" w:rsidRDefault="009B51F1">
      <w:pPr>
        <w:pStyle w:val="BodyText"/>
      </w:pPr>
      <w:r>
        <w:t>Pursuant to the 1996 Mines Rules a mining permit holder’s right of transfer was con</w:t>
      </w:r>
      <w:r>
        <w:t xml:space="preserve">ditional on the approval of the Ministry </w:t>
      </w:r>
      <w:hyperlink w:anchor="_ftn24">
        <w:r>
          <w:t>[24]</w:t>
        </w:r>
      </w:hyperlink>
      <w:r>
        <w:t>.  The 1996 Mines Rules did not set out what conditions needed to be met before a transfer application would be approved, or under what circumstances, if any, the Ministry would reje</w:t>
      </w:r>
      <w:r>
        <w:t>ct an application to transfer a permit.</w:t>
      </w:r>
    </w:p>
    <w:p w:rsidR="0030181A" w:rsidRDefault="009B51F1">
      <w:pPr>
        <w:pStyle w:val="BodyText"/>
      </w:pPr>
      <w:r>
        <w:t>Under the 2018 Mines Rules, a transfer still requires the approval of the Ministry or Department. The transferee is required to submit draft copies of any agreement to be entered into with the transferor in respect t</w:t>
      </w:r>
      <w:r>
        <w:t>o the permit, together with its memorandum and articles of association and DICA Forms VI and Form XXVI. It must also demonstrate it complies with the specific conditions of the licence.</w:t>
      </w:r>
      <w:hyperlink w:anchor="_ftn25">
        <w:r>
          <w:t>[25]</w:t>
        </w:r>
      </w:hyperlink>
      <w:r>
        <w:t xml:space="preserve">  </w:t>
      </w:r>
    </w:p>
    <w:p w:rsidR="0030181A" w:rsidRDefault="009B51F1">
      <w:pPr>
        <w:pStyle w:val="BodyText"/>
      </w:pPr>
      <w:r>
        <w:rPr>
          <w:b/>
        </w:rPr>
        <w:t>Fiscal regime</w:t>
      </w:r>
    </w:p>
    <w:p w:rsidR="0030181A" w:rsidRDefault="009B51F1">
      <w:pPr>
        <w:pStyle w:val="BodyText"/>
      </w:pPr>
      <w:r>
        <w:t>Myanmar’s mining fisc</w:t>
      </w:r>
      <w:r>
        <w:t>al regime consists of several elements:</w:t>
      </w:r>
    </w:p>
    <w:p w:rsidR="0030181A" w:rsidRDefault="009B51F1">
      <w:pPr>
        <w:pStyle w:val="BodyText"/>
      </w:pPr>
      <w:r>
        <w:t>a) Dead rent</w:t>
      </w:r>
    </w:p>
    <w:p w:rsidR="0030181A" w:rsidRDefault="009B51F1">
      <w:pPr>
        <w:pStyle w:val="BodyText"/>
      </w:pPr>
      <w:r>
        <w:t>b) Royalties</w:t>
      </w:r>
    </w:p>
    <w:p w:rsidR="0030181A" w:rsidRDefault="009B51F1">
      <w:pPr>
        <w:pStyle w:val="BodyText"/>
      </w:pPr>
      <w:r>
        <w:t>c) Three alternative contract-based State participation options: production sharing, state equity, or profit sharing, and</w:t>
      </w:r>
    </w:p>
    <w:p w:rsidR="0030181A" w:rsidRDefault="009B51F1">
      <w:pPr>
        <w:pStyle w:val="BodyText"/>
      </w:pPr>
      <w:r>
        <w:t>d) Corporate income taxes, import duties, and other generally applicable taxes and fees</w:t>
      </w:r>
    </w:p>
    <w:p w:rsidR="0030181A" w:rsidRDefault="009B51F1">
      <w:pPr>
        <w:pStyle w:val="BodyText"/>
      </w:pPr>
      <w:r>
        <w:t>Under the 1994 Mines Law permit holders were required to pay annual dead rent from the date a mining permit was issued. Dead rents were high in comparison to other mini</w:t>
      </w:r>
      <w:r>
        <w:t>ng jurisdictions.  They were also fixed, and could not be varied to take into the account the cost, time or other challenges involved in the development of a particular mineral deposit.  Dead rents were a significant deterrent to international miners, espe</w:t>
      </w:r>
      <w:r>
        <w:t>cially to the participation of smaller and mid-size companies, which play a key role in asset’s development, pre-production and pre-revenue.   The 1994 Mines Law provide for state participation on a Production Sharing basis (“</w:t>
      </w:r>
      <w:r>
        <w:rPr>
          <w:b/>
        </w:rPr>
        <w:t>PSC</w:t>
      </w:r>
      <w:r>
        <w:t xml:space="preserve">”).  Under the </w:t>
      </w:r>
      <w:r>
        <w:lastRenderedPageBreak/>
        <w:t>PSC system t</w:t>
      </w:r>
      <w:r>
        <w:t>he mining company was responsible for the payment of all project costs and required to surrender up to 30% of production to the State.</w:t>
      </w:r>
    </w:p>
    <w:p w:rsidR="0030181A" w:rsidRDefault="009B51F1">
      <w:pPr>
        <w:pStyle w:val="BodyText"/>
      </w:pPr>
      <w:r>
        <w:t>The 2015 Mines Law introduced alternative contract-based State participation (“</w:t>
      </w:r>
      <w:r>
        <w:rPr>
          <w:b/>
        </w:rPr>
        <w:t>Profit and Equity Sharing</w:t>
      </w:r>
      <w:r>
        <w:t>”). Profit and Eq</w:t>
      </w:r>
      <w:r>
        <w:t>uity Sharing allowed for the costs of mining, including dead rents and royalties, to be shared by the State and mining company. The 2018 Mines Rules reduces dead rents by over 65%, which is a significant incentive to smaller and medium sized mining compani</w:t>
      </w:r>
      <w:r>
        <w:t>es.</w:t>
      </w:r>
    </w:p>
    <w:p w:rsidR="0030181A" w:rsidRDefault="009B51F1">
      <w:pPr>
        <w:pStyle w:val="BodyText"/>
      </w:pPr>
      <w:r>
        <w:rPr>
          <w:b/>
        </w:rPr>
        <w:t>Decentralisation of small scale licensing and</w:t>
      </w:r>
      <w:r>
        <w:t xml:space="preserve"> </w:t>
      </w:r>
      <w:r>
        <w:rPr>
          <w:b/>
        </w:rPr>
        <w:t>environmental protections</w:t>
      </w:r>
    </w:p>
    <w:p w:rsidR="0030181A" w:rsidRDefault="009B51F1">
      <w:pPr>
        <w:pStyle w:val="BodyText"/>
      </w:pPr>
      <w:r>
        <w:t xml:space="preserve">Section 6 of the 2015 Mines Law provides for the decentralisation of the application process in respect of local involvement in prospecting, exploration, production of feasibility </w:t>
      </w:r>
      <w:r>
        <w:t>studies, processing and trading and subsistence and small-scale production. State and/or regional authorities are authorised to process permit applications and issue other approvals to subsistence/small-scale operators. The 1994 Mines Law restricted mining</w:t>
      </w:r>
      <w:r>
        <w:t xml:space="preserve"> management at a local and regional level. Rules 78 and 79 of the 2018 Mines Rule provides for the decentralisation of the permit application process, to divisional or state authorities. Regional and/or local authorities will decide whether a mining projec</w:t>
      </w:r>
      <w:r>
        <w:t>t is damaging the environment or if the mining company fails to conduct corporate social responsibility activities as promised.</w:t>
      </w:r>
    </w:p>
    <w:p w:rsidR="0030181A" w:rsidRDefault="009B51F1">
      <w:pPr>
        <w:pStyle w:val="BodyText"/>
      </w:pPr>
      <w:r>
        <w:t>Decentralisation initiatives often form part of a broader policy of ‘fomalisation’. ‘Fomalisation’ is pursued by Governments see</w:t>
      </w:r>
      <w:r>
        <w:t>king to improve the regulation and management of subsistence and small-scale mining in an attempt to make it a more profitable and economically beneficial sub-sector of an economy. Advocates of mining decentralisation argue that regional rather than centra</w:t>
      </w:r>
      <w:r>
        <w:t xml:space="preserve">l Government should be responsible for ensuring compliance with mining legislation, overseeing the demarcation of mining rights, revenue collection, the processing of mining rights applications, monitoring production, providing technical support to miners </w:t>
      </w:r>
      <w:r>
        <w:t xml:space="preserve">and combatting illegal mining.  The distribution of mining revenues is often a contentious issue between regional and central authorities.   Decentralisation as part of a broader policy of ‘formalisation’ could help the Myanmar Government’s peace building </w:t>
      </w:r>
      <w:r>
        <w:t>efforts.</w:t>
      </w:r>
    </w:p>
    <w:p w:rsidR="0030181A" w:rsidRDefault="009B51F1">
      <w:pPr>
        <w:pStyle w:val="BodyText"/>
      </w:pPr>
      <w:r>
        <w:rPr>
          <w:b/>
        </w:rPr>
        <w:t>Consultation on draft mining EIA guidelines begins</w:t>
      </w:r>
    </w:p>
    <w:p w:rsidR="0030181A" w:rsidRDefault="009B51F1">
      <w:pPr>
        <w:pStyle w:val="BodyText"/>
      </w:pPr>
      <w:r>
        <w:t>The Asian Development Bank (“</w:t>
      </w:r>
      <w:r>
        <w:rPr>
          <w:b/>
        </w:rPr>
        <w:t>ADB</w:t>
      </w:r>
      <w:r>
        <w:t>”) has invited comments on the draft guidelines (“</w:t>
      </w:r>
      <w:r>
        <w:rPr>
          <w:b/>
        </w:rPr>
        <w:t>Mining EIA Guidelines</w:t>
      </w:r>
      <w:r>
        <w:t>”) prepared by the ADB and the Myanmar Mining EIA Guidelines Working Group (“</w:t>
      </w:r>
      <w:r>
        <w:rPr>
          <w:b/>
        </w:rPr>
        <w:t>MCRB</w:t>
      </w:r>
      <w:r>
        <w:t>”) and which</w:t>
      </w:r>
      <w:r>
        <w:t xml:space="preserve"> is intended to guide those undertaking Environmental Impact Assessments (“</w:t>
      </w:r>
      <w:r>
        <w:rPr>
          <w:b/>
        </w:rPr>
        <w:t>EIA</w:t>
      </w:r>
      <w:r>
        <w:t>”), Initial Environment Examinations (“</w:t>
      </w:r>
      <w:r>
        <w:rPr>
          <w:b/>
        </w:rPr>
        <w:t>IEE</w:t>
      </w:r>
      <w:r>
        <w:t>”) and Environmental Management Plans (“</w:t>
      </w:r>
      <w:r>
        <w:rPr>
          <w:b/>
        </w:rPr>
        <w:t>EMP</w:t>
      </w:r>
      <w:r>
        <w:t>”). The consultation process (“</w:t>
      </w:r>
      <w:r>
        <w:rPr>
          <w:b/>
        </w:rPr>
        <w:t>Consultation</w:t>
      </w:r>
      <w:r>
        <w:t>”) is being supported by the Ministry of Natural R</w:t>
      </w:r>
      <w:r>
        <w:t>esources and Environmental Conservation (“</w:t>
      </w:r>
      <w:r>
        <w:rPr>
          <w:b/>
        </w:rPr>
        <w:t>MONREC</w:t>
      </w:r>
      <w:r>
        <w:t>”). The Mining EIA Guidelines are the MRCB’s follow-up on Mining Sector Wide Impact Assessment (“</w:t>
      </w:r>
      <w:r>
        <w:rPr>
          <w:b/>
        </w:rPr>
        <w:t>SWIA</w:t>
      </w:r>
      <w:r>
        <w:t>”), which it developed in cooperation with the Danish Institute of Human Rights (“</w:t>
      </w:r>
      <w:r>
        <w:rPr>
          <w:b/>
        </w:rPr>
        <w:t>DIHR</w:t>
      </w:r>
      <w:r>
        <w:t>”).  The SWIA identif</w:t>
      </w:r>
      <w:r>
        <w:t>ied environmental and social safeguards and an effective EIA system as fundamental to ensuring better mining practices in Myanmar and is intended to encourage a switch to responsible mining in the country. This SWIA focused on limestone, gold and tin minin</w:t>
      </w:r>
      <w:r>
        <w:t>g in Myanmar and the impacts the mining of these commodities has on the environment, local communities and workers, examining both the formal and informal mining sectors.</w:t>
      </w:r>
    </w:p>
    <w:p w:rsidR="0030181A" w:rsidRDefault="009B51F1">
      <w:pPr>
        <w:pStyle w:val="BodyText"/>
      </w:pPr>
      <w:r>
        <w:t>The Consultation was launched on 25 May at a meeting in Yangon attended by over 100 p</w:t>
      </w:r>
      <w:r>
        <w:t>articipants from the mining sector, including mining companies, EIA consultants, and MONREC officials, and representatives of the Ministry of Health and Sport and Ministry of Home Affairs. The Chairs of the Myanmar Federation of Mining Associations (“</w:t>
      </w:r>
      <w:r>
        <w:rPr>
          <w:b/>
        </w:rPr>
        <w:t>MFMA</w:t>
      </w:r>
      <w:r>
        <w:t>”</w:t>
      </w:r>
      <w:r>
        <w:t>) and Myanmar Impact Assessment Association were both present and contributed to the discussions. Development partners active in the mining sector were also present. U Kyaw Hsan, managing director of the Mining Enterprise-1 gave the opening speech on behal</w:t>
      </w:r>
      <w:r>
        <w:t>f of the Ministry and stressed MONREC’s commitment to seeing a more responsible and sustainable mining sector. The Director of the Environmental Conservation Department</w:t>
      </w:r>
      <w:hyperlink w:anchor="_ftn26">
        <w:r>
          <w:t>[26]</w:t>
        </w:r>
      </w:hyperlink>
      <w:r>
        <w:t xml:space="preserve"> (“</w:t>
      </w:r>
      <w:r>
        <w:rPr>
          <w:b/>
        </w:rPr>
        <w:t>ECD</w:t>
      </w:r>
      <w:r>
        <w:t xml:space="preserve">”) highlighted that among 2752 EIA/IEE/EMP </w:t>
      </w:r>
      <w:r>
        <w:lastRenderedPageBreak/>
        <w:t>docume</w:t>
      </w:r>
      <w:r>
        <w:t>nts submitted to the ECD to date, 77% relate to mining. The majority 1,790 were mining EMP the majority of which were submitted in 2016-2017. 48% of the EIA/IEE/EMP mining documents were in respect to gemstone and jade resources, with around 20% each comin</w:t>
      </w:r>
      <w:r>
        <w:t>g from operations under No(1) Mining Enterprise (“</w:t>
      </w:r>
      <w:r>
        <w:rPr>
          <w:b/>
        </w:rPr>
        <w:t>ME-1</w:t>
      </w:r>
      <w:r>
        <w:t>”) and No(2) Mining Enterprise (“</w:t>
      </w:r>
      <w:r>
        <w:rPr>
          <w:b/>
        </w:rPr>
        <w:t>ME-2</w:t>
      </w:r>
      <w:r>
        <w:t>”). The ECD Director also noted that the Ministry was very conscious that there remained many weaknesses in the EIA system, including capacity, and highlighted the s</w:t>
      </w:r>
      <w:r>
        <w:t>teps it planned to take to remedy this, including establishment of guidelines intended to improve the quality of reports submitted to it, support from international agencies and the delegation of some review responsibilities to regional teams.</w:t>
      </w:r>
    </w:p>
    <w:p w:rsidR="0030181A" w:rsidRDefault="009B51F1">
      <w:pPr>
        <w:pStyle w:val="BodyText"/>
      </w:pPr>
      <w:r>
        <w:t> </w:t>
      </w:r>
    </w:p>
    <w:p w:rsidR="0030181A" w:rsidRDefault="009B51F1">
      <w:r>
        <w:pict>
          <v:rect id="_x0000_i1025" style="width:0;height:1.5pt" o:hralign="center" o:hrstd="t" o:hr="t"/>
        </w:pict>
      </w:r>
    </w:p>
    <w:p w:rsidR="0030181A" w:rsidRDefault="009B51F1">
      <w:pPr>
        <w:pStyle w:val="FirstParagraph"/>
      </w:pPr>
      <w:hyperlink w:anchor="_ftnref1">
        <w:r>
          <w:t>[1]</w:t>
        </w:r>
      </w:hyperlink>
      <w:r>
        <w:t xml:space="preserve"> Law No. 72/2015 on 24 December 2015 </w:t>
      </w:r>
    </w:p>
    <w:p w:rsidR="0030181A" w:rsidRDefault="009B51F1">
      <w:pPr>
        <w:pStyle w:val="BodyText"/>
      </w:pPr>
      <w:hyperlink w:anchor="_ftnref2">
        <w:r>
          <w:t>[2]</w:t>
        </w:r>
      </w:hyperlink>
      <w:r>
        <w:t xml:space="preserve"> Rule 10</w:t>
      </w:r>
    </w:p>
    <w:p w:rsidR="0030181A" w:rsidRDefault="009B51F1">
      <w:pPr>
        <w:pStyle w:val="BodyText"/>
      </w:pPr>
      <w:hyperlink w:anchor="_ftnref3">
        <w:r>
          <w:t>[3]</w:t>
        </w:r>
      </w:hyperlink>
      <w:r>
        <w:t xml:space="preserve"> Rule 26</w:t>
      </w:r>
    </w:p>
    <w:p w:rsidR="0030181A" w:rsidRDefault="009B51F1">
      <w:pPr>
        <w:pStyle w:val="BodyText"/>
      </w:pPr>
      <w:hyperlink w:anchor="_ftnref4">
        <w:r>
          <w:t>[4]</w:t>
        </w:r>
      </w:hyperlink>
      <w:r>
        <w:t xml:space="preserve"> Rule 28</w:t>
      </w:r>
    </w:p>
    <w:p w:rsidR="0030181A" w:rsidRDefault="009B51F1">
      <w:pPr>
        <w:pStyle w:val="BodyText"/>
      </w:pPr>
      <w:hyperlink w:anchor="_ftnref5">
        <w:r>
          <w:t>[5]</w:t>
        </w:r>
      </w:hyperlink>
      <w:r>
        <w:t xml:space="preserve"> Rule 52</w:t>
      </w:r>
    </w:p>
    <w:p w:rsidR="0030181A" w:rsidRDefault="009B51F1">
      <w:pPr>
        <w:pStyle w:val="BodyText"/>
      </w:pPr>
      <w:hyperlink w:anchor="_ftnref6">
        <w:r>
          <w:t>[6]</w:t>
        </w:r>
      </w:hyperlink>
      <w:r>
        <w:t xml:space="preserve"> Rule 68</w:t>
      </w:r>
    </w:p>
    <w:p w:rsidR="0030181A" w:rsidRDefault="009B51F1">
      <w:pPr>
        <w:pStyle w:val="BodyText"/>
      </w:pPr>
      <w:hyperlink w:anchor="_ftnref7">
        <w:r>
          <w:t>[7]</w:t>
        </w:r>
      </w:hyperlink>
      <w:r>
        <w:t xml:space="preserve"> Rule 86</w:t>
      </w:r>
    </w:p>
    <w:p w:rsidR="0030181A" w:rsidRDefault="009B51F1">
      <w:pPr>
        <w:pStyle w:val="BodyText"/>
      </w:pPr>
      <w:hyperlink w:anchor="_ftnref8">
        <w:r>
          <w:t>[8]</w:t>
        </w:r>
      </w:hyperlink>
      <w:r>
        <w:t xml:space="preserve"> Rule 96</w:t>
      </w:r>
    </w:p>
    <w:p w:rsidR="0030181A" w:rsidRDefault="009B51F1">
      <w:pPr>
        <w:pStyle w:val="BodyText"/>
      </w:pPr>
      <w:hyperlink w:anchor="_ftnref9">
        <w:r>
          <w:t>[9]</w:t>
        </w:r>
      </w:hyperlink>
      <w:r>
        <w:t xml:space="preserve"> Rule 102</w:t>
      </w:r>
    </w:p>
    <w:p w:rsidR="0030181A" w:rsidRDefault="009B51F1">
      <w:pPr>
        <w:pStyle w:val="BodyText"/>
      </w:pPr>
      <w:hyperlink w:anchor="_ftnref10">
        <w:r>
          <w:t>[10]</w:t>
        </w:r>
      </w:hyperlink>
      <w:r>
        <w:t xml:space="preserve"> Rule 112</w:t>
      </w:r>
    </w:p>
    <w:p w:rsidR="0030181A" w:rsidRDefault="009B51F1">
      <w:pPr>
        <w:pStyle w:val="BodyText"/>
      </w:pPr>
      <w:hyperlink w:anchor="_ftnref11">
        <w:r>
          <w:t>[11]</w:t>
        </w:r>
      </w:hyperlink>
      <w:r>
        <w:t xml:space="preserve"> </w:t>
      </w:r>
      <w:r>
        <w:t>In respect to large –scale - prospecting permits Rules 10 and 17b; exploration permits Rules 26 and 32b; feasibility permits Rules 28 and 44 a, 44 b; production permits Rules 52 and 58. In respect to medium scale  - Prospecting permits Rule 11 and 17c; exp</w:t>
      </w:r>
      <w:r>
        <w:t>loration permits Rule 27 and 32, feasibility Rules 38 and 44 a; 44 b,  production permits Rule 86 and 92. In respect to small-scale mining - prospecting permits Rule 11 and 17c; exploration permits Rule 27 and 32; production permits Rule 86 and 92.</w:t>
      </w:r>
    </w:p>
    <w:p w:rsidR="0030181A" w:rsidRDefault="009B51F1">
      <w:pPr>
        <w:pStyle w:val="BodyText"/>
      </w:pPr>
      <w:hyperlink w:anchor="_ftnref12">
        <w:r>
          <w:t>[12]</w:t>
        </w:r>
      </w:hyperlink>
      <w:r>
        <w:t xml:space="preserve"> In respect to Large Scale Production (Rule 136(g)), Medium Scale Production (Rule 140(f)), Small Scale Production (Rule 142(e)), permit holders have the right to sell on domestic and international markets. Subsistence scale pr</w:t>
      </w:r>
      <w:r>
        <w:t>oduction (Rule144 (d)) permit holders have the right to sell on the domestic market only.</w:t>
      </w:r>
    </w:p>
    <w:p w:rsidR="0030181A" w:rsidRDefault="009B51F1">
      <w:pPr>
        <w:pStyle w:val="BodyText"/>
      </w:pPr>
      <w:hyperlink w:anchor="_ftnref13">
        <w:r>
          <w:t>[13]</w:t>
        </w:r>
      </w:hyperlink>
      <w:r>
        <w:t xml:space="preserve"> Rule 51c (large-scale)), Rule 67c (medium-scale) and Rule 85c (small-scale)</w:t>
      </w:r>
    </w:p>
    <w:p w:rsidR="0030181A" w:rsidRDefault="009B51F1">
      <w:pPr>
        <w:pStyle w:val="BodyText"/>
      </w:pPr>
      <w:hyperlink w:anchor="_ftnref14">
        <w:r>
          <w:t>[14]</w:t>
        </w:r>
      </w:hyperlink>
      <w:r>
        <w:t xml:space="preserve"> Rule 152 (c)</w:t>
      </w:r>
    </w:p>
    <w:p w:rsidR="0030181A" w:rsidRDefault="009B51F1">
      <w:pPr>
        <w:pStyle w:val="BodyText"/>
      </w:pPr>
      <w:hyperlink w:anchor="_ftnref15">
        <w:r>
          <w:t>[15]</w:t>
        </w:r>
      </w:hyperlink>
      <w:r>
        <w:t xml:space="preserve"> Rule 176</w:t>
      </w:r>
    </w:p>
    <w:p w:rsidR="0030181A" w:rsidRDefault="009B51F1">
      <w:pPr>
        <w:pStyle w:val="BodyText"/>
      </w:pPr>
      <w:hyperlink w:anchor="_ftnref16">
        <w:r>
          <w:t>[16]</w:t>
        </w:r>
      </w:hyperlink>
      <w:r>
        <w:t xml:space="preserve"> Rule 176</w:t>
      </w:r>
    </w:p>
    <w:p w:rsidR="0030181A" w:rsidRDefault="009B51F1">
      <w:pPr>
        <w:pStyle w:val="BodyText"/>
      </w:pPr>
      <w:hyperlink w:anchor="_ftnref17">
        <w:r>
          <w:t>[17]</w:t>
        </w:r>
      </w:hyperlink>
      <w:r>
        <w:t xml:space="preserve"> ibid</w:t>
      </w:r>
    </w:p>
    <w:p w:rsidR="0030181A" w:rsidRDefault="009B51F1">
      <w:pPr>
        <w:pStyle w:val="BodyText"/>
      </w:pPr>
      <w:hyperlink w:anchor="_ftnref18">
        <w:r>
          <w:t>[18]</w:t>
        </w:r>
      </w:hyperlink>
      <w:r>
        <w:t xml:space="preserve"> MIL, Article 36</w:t>
      </w:r>
    </w:p>
    <w:p w:rsidR="0030181A" w:rsidRDefault="009B51F1">
      <w:pPr>
        <w:pStyle w:val="BodyText"/>
      </w:pPr>
      <w:hyperlink w:anchor="_ftnref19">
        <w:r>
          <w:t>[19]</w:t>
        </w:r>
      </w:hyperlink>
      <w:r>
        <w:t xml:space="preserve"> Rule 54 (d)</w:t>
      </w:r>
    </w:p>
    <w:p w:rsidR="0030181A" w:rsidRDefault="009B51F1">
      <w:pPr>
        <w:pStyle w:val="BodyText"/>
      </w:pPr>
      <w:hyperlink w:anchor="_ftnref20">
        <w:r>
          <w:t>[20]</w:t>
        </w:r>
      </w:hyperlink>
      <w:r>
        <w:t xml:space="preserve"> Rule 64 (h)</w:t>
      </w:r>
    </w:p>
    <w:p w:rsidR="0030181A" w:rsidRDefault="009B51F1">
      <w:pPr>
        <w:pStyle w:val="BodyText"/>
      </w:pPr>
      <w:hyperlink w:anchor="_ftnref21">
        <w:r>
          <w:t>[21]</w:t>
        </w:r>
      </w:hyperlink>
      <w:r>
        <w:t xml:space="preserve"> Rule 126 (e)</w:t>
      </w:r>
    </w:p>
    <w:p w:rsidR="0030181A" w:rsidRDefault="009B51F1">
      <w:pPr>
        <w:pStyle w:val="BodyText"/>
      </w:pPr>
      <w:hyperlink w:anchor="_ftnref22">
        <w:r>
          <w:t>[22]</w:t>
        </w:r>
      </w:hyperlink>
      <w:r>
        <w:t xml:space="preserve"> MIR Rule 64 (g)</w:t>
      </w:r>
    </w:p>
    <w:p w:rsidR="0030181A" w:rsidRDefault="009B51F1">
      <w:pPr>
        <w:pStyle w:val="BodyText"/>
      </w:pPr>
      <w:hyperlink w:anchor="_ftnref23">
        <w:r>
          <w:t>[23]</w:t>
        </w:r>
      </w:hyperlink>
      <w:r>
        <w:t xml:space="preserve"> Rule 66</w:t>
      </w:r>
    </w:p>
    <w:p w:rsidR="0030181A" w:rsidRDefault="009B51F1">
      <w:pPr>
        <w:pStyle w:val="BodyText"/>
      </w:pPr>
      <w:hyperlink w:anchor="_ftnref24">
        <w:r>
          <w:t>[24]</w:t>
        </w:r>
      </w:hyperlink>
      <w:r>
        <w:t> Rule 155</w:t>
      </w:r>
    </w:p>
    <w:p w:rsidR="0030181A" w:rsidRDefault="009B51F1">
      <w:pPr>
        <w:pStyle w:val="BodyText"/>
      </w:pPr>
      <w:hyperlink w:anchor="_ftnref25">
        <w:r>
          <w:t>[25]</w:t>
        </w:r>
      </w:hyperlink>
      <w:r>
        <w:t xml:space="preserve"> Rule 155</w:t>
      </w:r>
    </w:p>
    <w:p w:rsidR="0030181A" w:rsidRDefault="009B51F1">
      <w:pPr>
        <w:pStyle w:val="BodyText"/>
      </w:pPr>
      <w:hyperlink w:anchor="_ftnref26">
        <w:r>
          <w:t>[26]</w:t>
        </w:r>
      </w:hyperlink>
      <w:r>
        <w:t xml:space="preserve"> Dr. San Oo</w:t>
      </w:r>
    </w:p>
    <w:p w:rsidR="0030181A" w:rsidRDefault="009B51F1">
      <w:pPr>
        <w:pStyle w:val="DisclaimerBold"/>
      </w:pPr>
      <w:r>
        <w:t>This newsletter is for information purposes only.</w:t>
      </w:r>
    </w:p>
    <w:p w:rsidR="0030181A" w:rsidRDefault="009B51F1">
      <w:pPr>
        <w:pStyle w:val="Disclaimer"/>
      </w:pPr>
      <w:r>
        <w:t xml:space="preserve">Its contents do not constitute legal advice and it should  not be regarded as a substitute for detailed advice  in individual </w:t>
      </w:r>
      <w:r>
        <w:t>cases.</w:t>
      </w:r>
    </w:p>
    <w:p w:rsidR="0030181A" w:rsidRDefault="009B51F1">
      <w:pPr>
        <w:pStyle w:val="Disclaimer"/>
      </w:pPr>
      <w:r>
        <w:t>Transmission of this information is not intended to create and receipt does not constitute a lawyer-client relationship between Charltons and the user or browser.</w:t>
      </w:r>
    </w:p>
    <w:p w:rsidR="0030181A" w:rsidRDefault="009B51F1">
      <w:pPr>
        <w:pStyle w:val="Disclaimer"/>
      </w:pPr>
      <w:r>
        <w:t>Charltons is not responsible for any third party content which can be accessed through</w:t>
      </w:r>
      <w:r>
        <w:t xml:space="preserve"> the website.</w:t>
      </w:r>
    </w:p>
    <w:p w:rsidR="0030181A" w:rsidRDefault="009B51F1">
      <w:pPr>
        <w:pStyle w:val="Disclaimer"/>
      </w:pPr>
      <w:r>
        <w:t xml:space="preserve">If you do not wish to receive this newsletter please let us know by emailing us at  </w:t>
      </w:r>
      <w:hyperlink>
        <w:r>
          <w:t>unsubscribe@charltonslaw.com</w:t>
        </w:r>
      </w:hyperlink>
    </w:p>
    <w:p w:rsidR="0030181A" w:rsidRDefault="009B51F1">
      <w:pPr>
        <w:pStyle w:val="BlackStrips"/>
      </w:pPr>
      <w:r>
        <w:t>Charltons - Myanmar Law - 19 June 2018</w:t>
      </w:r>
    </w:p>
    <w:sectPr w:rsidR="0030181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51F1">
      <w:pPr>
        <w:spacing w:after="0"/>
      </w:pPr>
      <w:r>
        <w:separator/>
      </w:r>
    </w:p>
  </w:endnote>
  <w:endnote w:type="continuationSeparator" w:id="0">
    <w:p w:rsidR="00000000" w:rsidRDefault="009B5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1A" w:rsidRDefault="009B51F1">
      <w:r>
        <w:separator/>
      </w:r>
    </w:p>
  </w:footnote>
  <w:footnote w:type="continuationSeparator" w:id="0">
    <w:p w:rsidR="0030181A" w:rsidRDefault="009B5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95F78"/>
    <w:multiLevelType w:val="multilevel"/>
    <w:tmpl w:val="F6387F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nsid w:val="1EE7578A"/>
    <w:multiLevelType w:val="multilevel"/>
    <w:tmpl w:val="0FBE5E60"/>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nsid w:val="53DA42C4"/>
    <w:multiLevelType w:val="multilevel"/>
    <w:tmpl w:val="1AAEF89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YwszQ1Mjc2NLQwMzBT0lEKTi0uzszPAykwrAUAYB33XCwAAAA="/>
  </w:docVars>
  <w:rsids>
    <w:rsidRoot w:val="00590D07"/>
    <w:rsid w:val="00011C8B"/>
    <w:rsid w:val="0030181A"/>
    <w:rsid w:val="004E29B3"/>
    <w:rsid w:val="00590D07"/>
    <w:rsid w:val="00784D58"/>
    <w:rsid w:val="008D6863"/>
    <w:rsid w:val="009B51F1"/>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lsdException w:name="Strong" w:uiPriority="22" w:qFormat="1"/>
    <w:lsdException w:name="Normal (Web)" w:uiPriority="99"/>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Strong">
    <w:name w:val="Strong"/>
    <w:basedOn w:val="DefaultParagraphFont"/>
    <w:uiPriority w:val="22"/>
    <w:qFormat/>
    <w:rsid w:val="009B51F1"/>
    <w:rPr>
      <w:b/>
      <w:bCs/>
    </w:rPr>
  </w:style>
  <w:style w:type="paragraph" w:styleId="NormalWeb">
    <w:name w:val="Normal (Web)"/>
    <w:basedOn w:val="Normal"/>
    <w:uiPriority w:val="99"/>
    <w:unhideWhenUsed/>
    <w:rsid w:val="009B51F1"/>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lsdException w:name="Strong" w:uiPriority="22" w:qFormat="1"/>
    <w:lsdException w:name="Normal (Web)" w:uiPriority="99"/>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Strong">
    <w:name w:val="Strong"/>
    <w:basedOn w:val="DefaultParagraphFont"/>
    <w:uiPriority w:val="22"/>
    <w:qFormat/>
    <w:rsid w:val="009B51F1"/>
    <w:rPr>
      <w:b/>
      <w:bCs/>
    </w:rPr>
  </w:style>
  <w:style w:type="paragraph" w:styleId="NormalWeb">
    <w:name w:val="Normal (Web)"/>
    <w:basedOn w:val="Normal"/>
    <w:uiPriority w:val="99"/>
    <w:unhideWhenUsed/>
    <w:rsid w:val="009B51F1"/>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09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3153</Words>
  <Characters>17976</Characters>
  <Application>Microsoft Office Word</Application>
  <DocSecurity>0</DocSecurity>
  <Lines>149</Lines>
  <Paragraphs>42</Paragraphs>
  <ScaleCrop>false</ScaleCrop>
  <Company>Microsoft</Company>
  <LinksUpToDate>false</LinksUpToDate>
  <CharactersWithSpaces>21087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1</cp:revision>
  <dcterms:created xsi:type="dcterms:W3CDTF">2018-06-19T08:11:00Z</dcterms:created>
  <dcterms:modified xsi:type="dcterms:W3CDTF">2018-06-19T08:13:00Z</dcterms:modified>
</cp:coreProperties>
</file>