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10" w:rsidRDefault="00B36056">
      <w:pPr>
        <w:pStyle w:val="BlackStrips"/>
      </w:pPr>
      <w:r>
        <w:t>Charltons - Myanmar Law - 27 July 2018</w:t>
      </w:r>
    </w:p>
    <w:p w:rsidR="00493B10" w:rsidRDefault="00B36056">
      <w:pPr>
        <w:pStyle w:val="ReadOnline"/>
      </w:pPr>
      <w:hyperlink>
        <w:r>
          <w:t>online version</w:t>
        </w:r>
      </w:hyperlink>
    </w:p>
    <w:p w:rsidR="00493B10" w:rsidRDefault="00B36056">
      <w:pPr>
        <w:pStyle w:val="Title"/>
      </w:pPr>
      <w:r>
        <w:t>DICA issues Myanmar Companies Regulations implementing the Myanmar Companies Law and requiring companies to re-register online</w:t>
      </w:r>
    </w:p>
    <w:p w:rsidR="00493B10" w:rsidRDefault="00B36056">
      <w:pPr>
        <w:pStyle w:val="FirstParagraph"/>
      </w:pPr>
      <w:r>
        <w:rPr>
          <w:b/>
        </w:rPr>
        <w:t>Introduction to 2018 Myanmar Companies Regulations</w:t>
      </w:r>
    </w:p>
    <w:p w:rsidR="00493B10" w:rsidRDefault="00B36056">
      <w:pPr>
        <w:pStyle w:val="BodyText"/>
      </w:pPr>
      <w:r>
        <w:t>On 23 July 2018. Myanmar’s Ministry of Planning and  Finance issued Notification No. 66/ 2018 in accordance with Section 462 (1) (a) of the Myanmar Companies Law 2017 (“</w:t>
      </w:r>
      <w:r>
        <w:rPr>
          <w:b/>
        </w:rPr>
        <w:t>MCL</w:t>
      </w:r>
      <w:r>
        <w:t>”). Notification No. 66/ 2018 (“</w:t>
      </w:r>
      <w:r>
        <w:rPr>
          <w:b/>
        </w:rPr>
        <w:t>Myanmar Companies Regulations</w:t>
      </w:r>
      <w:r>
        <w:t>” or “</w:t>
      </w:r>
      <w:r>
        <w:rPr>
          <w:b/>
        </w:rPr>
        <w:t>Regulations</w:t>
      </w:r>
      <w:r>
        <w:t>”) est</w:t>
      </w:r>
      <w:r>
        <w:t>ablishes an online companies’ registry (“</w:t>
      </w:r>
      <w:r>
        <w:rPr>
          <w:b/>
        </w:rPr>
        <w:t>Myanmar Companies Online</w:t>
      </w:r>
      <w:r>
        <w:t xml:space="preserve">” </w:t>
      </w:r>
      <w:r>
        <w:rPr>
          <w:b/>
        </w:rPr>
        <w:t>or “MyCo“</w:t>
      </w:r>
      <w:r>
        <w:t>) and sets out provisions in respect to the operation  of the MCL, which comes into effect on 1 August 2018 and replaces the Myanmar Companies Act (</w:t>
      </w:r>
      <w:r>
        <w:rPr>
          <w:b/>
        </w:rPr>
        <w:t>1914</w:t>
      </w:r>
      <w:r>
        <w:t>) (“</w:t>
      </w:r>
      <w:r>
        <w:rPr>
          <w:b/>
        </w:rPr>
        <w:t>MCA</w:t>
      </w:r>
      <w:r>
        <w:t>”). As  part of the l</w:t>
      </w:r>
      <w:r>
        <w:t>egislative and administrative transition from the MCA to the MCL, all companies incorporated in Myanmar,   are required to “re-register” with the Directorate of Investment and Company Administration (“</w:t>
      </w:r>
      <w:r>
        <w:rPr>
          <w:b/>
        </w:rPr>
        <w:t>DICA</w:t>
      </w:r>
      <w:r>
        <w:t>”). Among other benefits, the MCL provides for expa</w:t>
      </w:r>
      <w:r>
        <w:t>nded corporate powers, improved shareholder protections, and more sophisticated capital structures. The introduction and implementation of the MCL is the most significant legislative development in Myanmar since reform began in 2011.</w:t>
      </w:r>
    </w:p>
    <w:p w:rsidR="00493B10" w:rsidRDefault="00B36056">
      <w:pPr>
        <w:pStyle w:val="BodyText"/>
      </w:pPr>
      <w:r>
        <w:rPr>
          <w:b/>
        </w:rPr>
        <w:t>Myanmar Companies Onli</w:t>
      </w:r>
      <w:r>
        <w:rPr>
          <w:b/>
        </w:rPr>
        <w:t>ne</w:t>
      </w:r>
    </w:p>
    <w:p w:rsidR="00493B10" w:rsidRDefault="00B36056">
      <w:pPr>
        <w:pStyle w:val="BodyText"/>
      </w:pPr>
      <w:r>
        <w:t>The Myanmar Companies Regulations provide for the establishment of an online companies’ registry ‘Myanmar Companies Online’. To date, Myanmar has had no electronic filing system, all company filings were completed by hand and limited company information</w:t>
      </w:r>
      <w:r>
        <w:t xml:space="preserve"> was publically available. The ‘Company Search’ facility on the DICA’s website provided very basic company information only. It was not possible to obtain up to date information on the identity of a Myanmar company’s shareholders and/or details of its capi</w:t>
      </w:r>
      <w:r>
        <w:t>tal structure.</w:t>
      </w:r>
    </w:p>
    <w:p w:rsidR="00493B10" w:rsidRDefault="00B36056">
      <w:pPr>
        <w:pStyle w:val="BodyText"/>
      </w:pPr>
      <w:r>
        <w:t>From now on, companies will be able to make electronic filings via the Myanmar Companies Online system and pay filing fees online. A company is required to keep copies of any documents filed electronically at its registered address.  The  Re</w:t>
      </w:r>
      <w:r>
        <w:t>gistry  has the power to issue certified documents or an extract of a document, if required. Companies are required to provide the Registry with an email address for the service of notices and other communications. The Regulations also provide for non- ele</w:t>
      </w:r>
      <w:r>
        <w:t>ctronic filings once operational ‘MyCo’ filings will be avilable to the public.  </w:t>
      </w:r>
    </w:p>
    <w:p w:rsidR="00493B10" w:rsidRDefault="00B36056">
      <w:pPr>
        <w:pStyle w:val="BodyText"/>
      </w:pPr>
      <w:r>
        <w:rPr>
          <w:b/>
        </w:rPr>
        <w:t>Re-registration under the Myanmar Companies Law</w:t>
      </w:r>
    </w:p>
    <w:p w:rsidR="00493B10" w:rsidRDefault="00B36056">
      <w:pPr>
        <w:pStyle w:val="BodyText"/>
      </w:pPr>
      <w:r>
        <w:t>All companies incorporated in Myanmar are required to re-register with the DICA via ‘MyCo‘ within a six month Re- registration</w:t>
      </w:r>
      <w:r>
        <w:t xml:space="preserve"> Period (i.e. prior to the 31 January 2019, assuming the MCL become effective on 1 August 2018  as scheduled).  A company may be refused re-registration if it fails to comply with the Registry’s instructions in respect to the completion and filing of re-re</w:t>
      </w:r>
      <w:r>
        <w:t>gistration forms, requests for additional documentation or failure to pay the Registry’s fees. Companies failing to re-register within the Re-registration Period, will be struck from the register and dissolved following the publication of a ‘strike-off’ no</w:t>
      </w:r>
      <w:r>
        <w:t>tice  in  the  Myanmar  Gazette,  published  by Myanmar’s Ministry of Information. The Registry has the power to ‘restore’ a struck-off company, if the company can provide sufficient reason for its failure to re-register. A struck- off company cannot carry</w:t>
      </w:r>
      <w:r>
        <w:t xml:space="preserve"> on its business until restored.</w:t>
      </w:r>
    </w:p>
    <w:p w:rsidR="00493B10" w:rsidRDefault="00B36056">
      <w:pPr>
        <w:pStyle w:val="BodyText"/>
      </w:pPr>
      <w:r>
        <w:rPr>
          <w:i/>
        </w:rPr>
        <w:t>Application for re-registration</w:t>
      </w:r>
    </w:p>
    <w:p w:rsidR="00493B10" w:rsidRDefault="00B36056">
      <w:pPr>
        <w:pStyle w:val="BodyText"/>
      </w:pPr>
      <w:r>
        <w:lastRenderedPageBreak/>
        <w:t>An application to re-register an existing company must be made to the Registrar in the prescribed form and must state:</w:t>
      </w:r>
    </w:p>
    <w:p w:rsidR="00493B10" w:rsidRDefault="00B36056" w:rsidP="00B36056">
      <w:pPr>
        <w:pStyle w:val="Compact"/>
        <w:numPr>
          <w:ilvl w:val="0"/>
          <w:numId w:val="7"/>
        </w:numPr>
      </w:pPr>
      <w:r>
        <w:t>the full name, date of birth, gender, nationality and address of every d</w:t>
      </w:r>
      <w:r>
        <w:t>irector and secretary of the company;</w:t>
      </w:r>
    </w:p>
    <w:p w:rsidR="00493B10" w:rsidRDefault="00B36056" w:rsidP="00B36056">
      <w:pPr>
        <w:pStyle w:val="Compact"/>
        <w:numPr>
          <w:ilvl w:val="0"/>
          <w:numId w:val="7"/>
        </w:numPr>
      </w:pPr>
      <w:r>
        <w:t>the address of the registered office of the company;</w:t>
      </w:r>
    </w:p>
    <w:p w:rsidR="00493B10" w:rsidRDefault="00B36056" w:rsidP="00B36056">
      <w:pPr>
        <w:pStyle w:val="Compact"/>
        <w:numPr>
          <w:ilvl w:val="0"/>
          <w:numId w:val="7"/>
        </w:numPr>
      </w:pPr>
      <w:r>
        <w:t>the address of the principal place of business of the company (if different to the registered office);</w:t>
      </w:r>
    </w:p>
    <w:p w:rsidR="00493B10" w:rsidRDefault="00B36056" w:rsidP="00B36056">
      <w:pPr>
        <w:pStyle w:val="Compact"/>
        <w:numPr>
          <w:ilvl w:val="0"/>
          <w:numId w:val="7"/>
        </w:numPr>
      </w:pPr>
      <w:r>
        <w:t xml:space="preserve">the full name and address of every member of the company, and </w:t>
      </w:r>
      <w:r>
        <w:t>the number and class of shares issued to each member;</w:t>
      </w:r>
    </w:p>
    <w:p w:rsidR="00493B10" w:rsidRDefault="00B36056" w:rsidP="00B36056">
      <w:pPr>
        <w:pStyle w:val="Compact"/>
        <w:numPr>
          <w:ilvl w:val="0"/>
          <w:numId w:val="7"/>
        </w:numPr>
      </w:pPr>
      <w:r>
        <w:t>whether the company has an ultimate holding company;</w:t>
      </w:r>
    </w:p>
    <w:p w:rsidR="00493B10" w:rsidRDefault="00B36056" w:rsidP="00B36056">
      <w:pPr>
        <w:pStyle w:val="Compact"/>
        <w:numPr>
          <w:ilvl w:val="0"/>
          <w:numId w:val="7"/>
        </w:numPr>
      </w:pPr>
      <w:r>
        <w:t>whether the company will, on re-registration, be a foreign company (i.e. a company in which foreign person(s) or entities hold, or control, more than</w:t>
      </w:r>
      <w:r>
        <w:t xml:space="preserve"> 35% of the company’s total issued share capital); and</w:t>
      </w:r>
    </w:p>
    <w:p w:rsidR="00493B10" w:rsidRDefault="00B36056" w:rsidP="00B36056">
      <w:pPr>
        <w:pStyle w:val="Compact"/>
        <w:numPr>
          <w:ilvl w:val="0"/>
          <w:numId w:val="7"/>
        </w:numPr>
      </w:pPr>
      <w:proofErr w:type="gramStart"/>
      <w:r>
        <w:t>any</w:t>
      </w:r>
      <w:proofErr w:type="gramEnd"/>
      <w:r>
        <w:t xml:space="preserve"> other information requested by the Registry in the re- registration form.</w:t>
      </w:r>
    </w:p>
    <w:p w:rsidR="00493B10" w:rsidRDefault="00B36056">
      <w:pPr>
        <w:pStyle w:val="FirstParagraph"/>
      </w:pPr>
      <w:r>
        <w:t xml:space="preserve">On 10 July 2018, DICA issued Notification No. 60 /2018, the ‘Prescribed Model Constitution under the Myanmar Companies Law </w:t>
      </w:r>
      <w:r>
        <w:t>2017’ (“</w:t>
      </w:r>
      <w:r>
        <w:rPr>
          <w:b/>
        </w:rPr>
        <w:t>Constitution</w:t>
      </w:r>
      <w:r>
        <w:t>”). Companies incorporating under the MCL can adopt the Constitution in its prescribed form      or containing amendments approved by the DICA. The Constitution is a single document and replaces the simple form Memorandum and Articles o</w:t>
      </w:r>
      <w:r>
        <w:t>f Association adopted by companies incorporated under the MCA. MCA-incorporated companies can adopt the new MCL Constitution on re- registration. A re-registration application must be accompanied by a copy of the company’s new Constitution or Memorandum or</w:t>
      </w:r>
      <w:r>
        <w:t xml:space="preserve"> Articles of Association (if the company opts to continue  with its existing Memorandum or Articles of Association. The company is required to state whether it has adopted the model Constitution as prescribed or an amended version for DICA’s approval.   Th</w:t>
      </w:r>
      <w:r>
        <w:t>e  Memorandum  and  Articles  of  Association  of a company  incorporated  under  MCA  contained  details  of the company’s share capital. The Myanmar Companies Regulations deletes this provision. A company’s share capital information will set out in the r</w:t>
      </w:r>
      <w:r>
        <w:t>elevant DICA filing form only.</w:t>
      </w:r>
    </w:p>
    <w:p w:rsidR="00493B10" w:rsidRDefault="00B36056">
      <w:pPr>
        <w:pStyle w:val="BodyText"/>
      </w:pPr>
      <w:r>
        <w:t>On receiving a completed application form, DICA will: -</w:t>
      </w:r>
    </w:p>
    <w:p w:rsidR="00493B10" w:rsidRDefault="00B36056" w:rsidP="00B36056">
      <w:pPr>
        <w:pStyle w:val="Compact"/>
        <w:numPr>
          <w:ilvl w:val="0"/>
          <w:numId w:val="8"/>
        </w:numPr>
      </w:pPr>
      <w:r>
        <w:t>enter the details of the company in the Myanmar Companies Online system on the electronic registry system;</w:t>
      </w:r>
    </w:p>
    <w:p w:rsidR="00493B10" w:rsidRDefault="00B36056" w:rsidP="00B36056">
      <w:pPr>
        <w:pStyle w:val="Compact"/>
        <w:numPr>
          <w:ilvl w:val="0"/>
          <w:numId w:val="8"/>
        </w:numPr>
      </w:pPr>
      <w:r>
        <w:t>issue the company with a new certificate of registration; and</w:t>
      </w:r>
    </w:p>
    <w:p w:rsidR="00493B10" w:rsidRDefault="00B36056" w:rsidP="00B36056">
      <w:pPr>
        <w:pStyle w:val="Compact"/>
        <w:numPr>
          <w:ilvl w:val="0"/>
          <w:numId w:val="8"/>
        </w:numPr>
      </w:pPr>
      <w:proofErr w:type="gramStart"/>
      <w:r>
        <w:t>issue</w:t>
      </w:r>
      <w:proofErr w:type="gramEnd"/>
      <w:r>
        <w:t xml:space="preserve"> the company with a new registration number.</w:t>
      </w:r>
    </w:p>
    <w:p w:rsidR="00493B10" w:rsidRDefault="00B36056">
      <w:pPr>
        <w:pStyle w:val="FirstParagraph"/>
      </w:pPr>
      <w:r>
        <w:t>A new certificate of registration can be taken as conclusive evidence that a company has complied with all the requirements in respect of registration. No permit to trade will be issued under the MCL.</w:t>
      </w:r>
    </w:p>
    <w:p w:rsidR="00493B10" w:rsidRDefault="00B36056">
      <w:pPr>
        <w:pStyle w:val="BodyText"/>
      </w:pPr>
      <w:r>
        <w:rPr>
          <w:i/>
        </w:rPr>
        <w:t>Legal</w:t>
      </w:r>
      <w:r>
        <w:rPr>
          <w:i/>
        </w:rPr>
        <w:t xml:space="preserve"> status and conversion of shares</w:t>
      </w:r>
    </w:p>
    <w:p w:rsidR="00493B10" w:rsidRDefault="00B36056">
      <w:pPr>
        <w:pStyle w:val="BodyText"/>
      </w:pPr>
      <w:r>
        <w:t>Chapter 3, Paragraph 6 of the Myanmar Companies Regulations confirms the legal status of companies will not be affected by the re-registration process. Re-registration does not:</w:t>
      </w:r>
    </w:p>
    <w:p w:rsidR="00493B10" w:rsidRDefault="00B36056" w:rsidP="00B36056">
      <w:pPr>
        <w:pStyle w:val="Compact"/>
        <w:numPr>
          <w:ilvl w:val="0"/>
          <w:numId w:val="9"/>
        </w:numPr>
      </w:pPr>
      <w:r>
        <w:t>create a new legal entity;</w:t>
      </w:r>
    </w:p>
    <w:p w:rsidR="00493B10" w:rsidRDefault="00B36056" w:rsidP="00B36056">
      <w:pPr>
        <w:pStyle w:val="Compact"/>
        <w:numPr>
          <w:ilvl w:val="0"/>
          <w:numId w:val="9"/>
        </w:numPr>
      </w:pPr>
      <w:r>
        <w:t>affect a company’s property, rights, or obligations;</w:t>
      </w:r>
    </w:p>
    <w:p w:rsidR="00493B10" w:rsidRDefault="00B36056" w:rsidP="00B36056">
      <w:pPr>
        <w:pStyle w:val="Compact"/>
        <w:numPr>
          <w:ilvl w:val="0"/>
          <w:numId w:val="9"/>
        </w:numPr>
      </w:pPr>
      <w:r>
        <w:t>affect any proceedings by or against the company (or its members); or</w:t>
      </w:r>
    </w:p>
    <w:p w:rsidR="00493B10" w:rsidRDefault="00B36056" w:rsidP="00B36056">
      <w:pPr>
        <w:pStyle w:val="Compact"/>
        <w:numPr>
          <w:ilvl w:val="0"/>
          <w:numId w:val="9"/>
        </w:numPr>
      </w:pPr>
      <w:proofErr w:type="gramStart"/>
      <w:r>
        <w:t>affect</w:t>
      </w:r>
      <w:proofErr w:type="gramEnd"/>
      <w:r>
        <w:t xml:space="preserve"> the liability of the company for any amounts payable by way of penalty or default in arising under Myanmar law.</w:t>
      </w:r>
    </w:p>
    <w:p w:rsidR="00493B10" w:rsidRDefault="00B36056">
      <w:pPr>
        <w:pStyle w:val="FirstParagraph"/>
      </w:pPr>
      <w:r>
        <w:t>On re-registra</w:t>
      </w:r>
      <w:r>
        <w:t xml:space="preserve">tion, all shares issued by the company prior to re- registration are deemed to be converted into shares of </w:t>
      </w:r>
      <w:r>
        <w:rPr>
          <w:b/>
          <w:i/>
        </w:rPr>
        <w:t>no par value</w:t>
      </w:r>
      <w:r>
        <w:t>. Conversion does not affect the rights and obligations attached to the shares, and in particular does not affect:</w:t>
      </w:r>
    </w:p>
    <w:p w:rsidR="00493B10" w:rsidRDefault="00B36056" w:rsidP="00B36056">
      <w:pPr>
        <w:pStyle w:val="Compact"/>
        <w:numPr>
          <w:ilvl w:val="0"/>
          <w:numId w:val="10"/>
        </w:numPr>
      </w:pPr>
      <w:r>
        <w:lastRenderedPageBreak/>
        <w:t>the entitlements of th</w:t>
      </w:r>
      <w:r>
        <w:t>e holder of the shares in respect of distributions, voting, the redemption of any redeemable shares, or the distribution of the company’s assets on liquidation; and</w:t>
      </w:r>
    </w:p>
    <w:p w:rsidR="00493B10" w:rsidRDefault="00B36056" w:rsidP="00B36056">
      <w:pPr>
        <w:pStyle w:val="Compact"/>
        <w:numPr>
          <w:ilvl w:val="0"/>
          <w:numId w:val="10"/>
        </w:numPr>
      </w:pPr>
      <w:proofErr w:type="gramStart"/>
      <w:r>
        <w:t>any</w:t>
      </w:r>
      <w:proofErr w:type="gramEnd"/>
      <w:r>
        <w:t xml:space="preserve"> unpaid liability of a shareholder in respect to a share.</w:t>
      </w:r>
    </w:p>
    <w:p w:rsidR="00493B10" w:rsidRDefault="00B36056">
      <w:pPr>
        <w:pStyle w:val="FirstParagraph"/>
      </w:pPr>
      <w:r>
        <w:t>The liability of a shareholder</w:t>
      </w:r>
      <w:r>
        <w:t xml:space="preserve"> for calls in respect of amounts unpaid on shares issued before the commencement of the MCL (whether in respect to the nominal value of the shares or a premium) is not affected by the share ceasing to have a nominal value. Pursuant to Paragraph 9 (d), on t</w:t>
      </w:r>
      <w:r>
        <w:t>he commencement date of the MCL, the balance in the company’s share premium account and capital redemption reserve shall become part of the company’s share capital.</w:t>
      </w:r>
    </w:p>
    <w:p w:rsidR="00493B10" w:rsidRDefault="00B36056">
      <w:pPr>
        <w:pStyle w:val="BodyText"/>
      </w:pPr>
      <w:r>
        <w:t>Notwithstanding sub-paragraph (d), a company may, on or after the  commencement  of  the  M</w:t>
      </w:r>
      <w:r>
        <w:t>CL,  apply  any  amount  in its share premium account immediately before the MCL’s commencement:-</w:t>
      </w:r>
    </w:p>
    <w:p w:rsidR="00493B10" w:rsidRDefault="00B36056" w:rsidP="00B36056">
      <w:pPr>
        <w:pStyle w:val="Compact"/>
        <w:numPr>
          <w:ilvl w:val="0"/>
          <w:numId w:val="11"/>
        </w:numPr>
      </w:pPr>
      <w:bookmarkStart w:id="0" w:name="_GoBack"/>
      <w:r>
        <w:t>provide for the premium payable on redemption of debentures or redeemable on preference shares issued before that day;</w:t>
      </w:r>
    </w:p>
    <w:p w:rsidR="00493B10" w:rsidRDefault="00B36056" w:rsidP="00B36056">
      <w:pPr>
        <w:pStyle w:val="Compact"/>
        <w:numPr>
          <w:ilvl w:val="0"/>
          <w:numId w:val="11"/>
        </w:numPr>
      </w:pPr>
      <w:r>
        <w:t>write off the preliminary expenses of the company incurred before that day; or</w:t>
      </w:r>
    </w:p>
    <w:p w:rsidR="00493B10" w:rsidRDefault="00B36056" w:rsidP="00B36056">
      <w:pPr>
        <w:pStyle w:val="Compact"/>
        <w:numPr>
          <w:ilvl w:val="0"/>
          <w:numId w:val="11"/>
        </w:numPr>
      </w:pPr>
      <w:r>
        <w:t>write off any expenses incurred, or commissions or brokerages paid or discounts allowed, on or before that day, for any duty, fee or tax payable on or in connection with any iss</w:t>
      </w:r>
      <w:r>
        <w:t>ue of shares of the company;</w:t>
      </w:r>
    </w:p>
    <w:p w:rsidR="00493B10" w:rsidRDefault="00B36056" w:rsidP="00B36056">
      <w:pPr>
        <w:pStyle w:val="Compact"/>
        <w:numPr>
          <w:ilvl w:val="0"/>
          <w:numId w:val="11"/>
        </w:numPr>
      </w:pPr>
      <w:r>
        <w:t>pay up, pursuant to an agreement made before that day, shares which were unissued before that day and which are to be issued on or after that day to members of the company as fully paid bonus shares;</w:t>
      </w:r>
    </w:p>
    <w:p w:rsidR="00493B10" w:rsidRDefault="00B36056" w:rsidP="00B36056">
      <w:pPr>
        <w:pStyle w:val="Compact"/>
        <w:numPr>
          <w:ilvl w:val="0"/>
          <w:numId w:val="11"/>
        </w:numPr>
      </w:pPr>
      <w:proofErr w:type="gramStart"/>
      <w:r>
        <w:t>pay</w:t>
      </w:r>
      <w:proofErr w:type="gramEnd"/>
      <w:r>
        <w:t xml:space="preserve"> up in whole or in part </w:t>
      </w:r>
      <w:r>
        <w:t>the balance unpaid on shares issued before that day to members of the company; or pay dividends declared before that day, if such dividends are satisfied by the issue of shares to members of the company.</w:t>
      </w:r>
    </w:p>
    <w:bookmarkEnd w:id="0"/>
    <w:p w:rsidR="00493B10" w:rsidRDefault="00B36056">
      <w:pPr>
        <w:pStyle w:val="FirstParagraph"/>
      </w:pPr>
      <w:r>
        <w:rPr>
          <w:i/>
        </w:rPr>
        <w:t>Exemption from filing annual return during re-regist</w:t>
      </w:r>
      <w:r>
        <w:rPr>
          <w:i/>
        </w:rPr>
        <w:t>ration period</w:t>
      </w:r>
    </w:p>
    <w:p w:rsidR="00493B10" w:rsidRDefault="00B36056">
      <w:pPr>
        <w:pStyle w:val="BodyText"/>
      </w:pPr>
      <w:r>
        <w:t>Pursuant to Chapter 3, Paragraph 8 (a) of the Myanmar Companies Regulations, a company required to file an annual return under Section 97 or section 53(a) (I)</w:t>
      </w:r>
      <w:hyperlink w:anchor="_ftn1">
        <w:r>
          <w:t>[1]</w:t>
        </w:r>
      </w:hyperlink>
      <w:r>
        <w:t xml:space="preserve"> of the MCL during the re-registration period, is exe</w:t>
      </w:r>
      <w:r>
        <w:t>mpt from having to making a filing. </w:t>
      </w:r>
    </w:p>
    <w:p w:rsidR="00493B10" w:rsidRDefault="00B36056">
      <w:pPr>
        <w:pStyle w:val="BodyText"/>
      </w:pPr>
      <w:r>
        <w:rPr>
          <w:b/>
        </w:rPr>
        <w:t>Ordinarily resident Director</w:t>
      </w:r>
    </w:p>
    <w:p w:rsidR="00493B10" w:rsidRDefault="00B36056">
      <w:pPr>
        <w:pStyle w:val="BodyText"/>
      </w:pPr>
      <w:r>
        <w:t>A company incorporated under the MCA was required to have a minimum of 2 directors. The MCA did not require directors to be Myanmar residents. A company registered under the MCL can have a s</w:t>
      </w:r>
      <w:r>
        <w:t>ole director. However, pursuant to Section 469   of the MCL, at least one director must be ordinarily resident (“</w:t>
      </w:r>
      <w:r>
        <w:rPr>
          <w:b/>
        </w:rPr>
        <w:t>Resident Director</w:t>
      </w:r>
      <w:r>
        <w:t>”) in Myanmar (i.e. present in Myanmar for a minimum of 183 days in a relevant 12 month period).  The resident director does n</w:t>
      </w:r>
      <w:r>
        <w:t xml:space="preserve">ot need to be a Myanmar citizen. Companies should notify the DICA of changes in their directors when re-registering. A company director cannot resign or vacate his position if it means the company is left without Resident Director. If a company carries on </w:t>
      </w:r>
      <w:r>
        <w:t>business without   a Resident Director, the members of the  company, and/or any person with knowledge that the company is carrying on business without a Resident Director, shall be liable for the payment of the company’s debts arising during the period.</w:t>
      </w:r>
    </w:p>
    <w:p w:rsidR="00493B10" w:rsidRDefault="00B36056">
      <w:pPr>
        <w:pStyle w:val="BodyText"/>
      </w:pPr>
      <w:r>
        <w:rPr>
          <w:b/>
        </w:rPr>
        <w:t>Ab</w:t>
      </w:r>
      <w:r>
        <w:rPr>
          <w:b/>
        </w:rPr>
        <w:t>olition of 5 year registration period</w:t>
      </w:r>
    </w:p>
    <w:p w:rsidR="00493B10" w:rsidRDefault="00B36056">
      <w:pPr>
        <w:pStyle w:val="BodyText"/>
      </w:pPr>
      <w:r>
        <w:t xml:space="preserve">Although it is not stated in the Regulations, U Aung Naing Oo, secretary of the Myanmar Investment Commission has announced that re-registered companies will be permanently registered. The previous 5 year registration </w:t>
      </w:r>
      <w:r>
        <w:t xml:space="preserve">period will no longer apply. </w:t>
      </w:r>
      <w:hyperlink w:anchor="_ftn2">
        <w:r>
          <w:t>[2]</w:t>
        </w:r>
      </w:hyperlink>
    </w:p>
    <w:p w:rsidR="00493B10" w:rsidRDefault="00B36056">
      <w:pPr>
        <w:pStyle w:val="BodyText"/>
      </w:pPr>
      <w:r>
        <w:rPr>
          <w:b/>
        </w:rPr>
        <w:t>Conclusion</w:t>
      </w:r>
    </w:p>
    <w:p w:rsidR="00493B10" w:rsidRDefault="00B36056">
      <w:pPr>
        <w:pStyle w:val="BodyText"/>
      </w:pPr>
      <w:r>
        <w:t>The MCL and Regulations (together with Notification No. 60 /2018 which sets out the MCL Model Constitution) represent significant legislative achievements for the Myanmar Government an</w:t>
      </w:r>
      <w:r>
        <w:t xml:space="preserve">d </w:t>
      </w:r>
      <w:r>
        <w:lastRenderedPageBreak/>
        <w:t>represent the beginning of a new era in Myanmar’s corporate law. They bring Myanmar law into line with recognizable international standards and facilitate local and foreign investment in existing and new businesses. </w:t>
      </w:r>
    </w:p>
    <w:p w:rsidR="00493B10" w:rsidRDefault="00B36056">
      <w:r>
        <w:pict>
          <v:rect id="_x0000_i1025" style="width:0;height:1.5pt" o:hralign="center" o:hrstd="t" o:hr="t"/>
        </w:pict>
      </w:r>
    </w:p>
    <w:p w:rsidR="00493B10" w:rsidRDefault="00B36056">
      <w:pPr>
        <w:pStyle w:val="FirstParagraph"/>
      </w:pPr>
      <w:hyperlink w:anchor="_ftnref1">
        <w:r>
          <w:t>[1]</w:t>
        </w:r>
      </w:hyperlink>
      <w:r>
        <w:t xml:space="preserve"> </w:t>
      </w:r>
      <w:r>
        <w:t>A company formed within 2 months of the MCL or on overseas corporation conducting business in Myanmar.</w:t>
      </w:r>
    </w:p>
    <w:p w:rsidR="00493B10" w:rsidRDefault="00B36056">
      <w:pPr>
        <w:pStyle w:val="BodyText"/>
      </w:pPr>
      <w:hyperlink w:anchor="_ftnref2">
        <w:r>
          <w:t>[2]</w:t>
        </w:r>
      </w:hyperlink>
      <w:r>
        <w:t xml:space="preserve"> </w:t>
      </w:r>
      <w:r>
        <w:rPr>
          <w:i/>
        </w:rPr>
        <w:t>Source:</w:t>
      </w:r>
      <w:r>
        <w:t xml:space="preserve"> </w:t>
      </w:r>
      <w:r>
        <w:rPr>
          <w:i/>
        </w:rPr>
        <w:t>The Myanmar Times, 26 July 2018,; www.mmtimes.com/news/draft-regulations-companies-law-released-go-effect-augu</w:t>
      </w:r>
      <w:r>
        <w:rPr>
          <w:i/>
        </w:rPr>
        <w:t>st.html</w:t>
      </w:r>
    </w:p>
    <w:p w:rsidR="00493B10" w:rsidRDefault="00B36056">
      <w:pPr>
        <w:pStyle w:val="DisclaimerBold"/>
      </w:pPr>
      <w:r>
        <w:t>This newsletter is for information purposes only.</w:t>
      </w:r>
    </w:p>
    <w:p w:rsidR="00493B10" w:rsidRDefault="00B36056">
      <w:pPr>
        <w:pStyle w:val="Disclaimer"/>
      </w:pPr>
      <w:r>
        <w:t>Its contents do not constitute legal advice and it should  not be regarded as a substitute for detailed advice  in individual cases.</w:t>
      </w:r>
    </w:p>
    <w:p w:rsidR="00493B10" w:rsidRDefault="00B36056">
      <w:pPr>
        <w:pStyle w:val="Disclaimer"/>
      </w:pPr>
      <w:r>
        <w:t xml:space="preserve">Transmission of this information is not intended to create and </w:t>
      </w:r>
      <w:r>
        <w:t>receipt does not constitute a lawyer-client relationship between Charltons and the user or browser.</w:t>
      </w:r>
    </w:p>
    <w:p w:rsidR="00493B10" w:rsidRDefault="00B36056">
      <w:pPr>
        <w:pStyle w:val="Disclaimer"/>
      </w:pPr>
      <w:r>
        <w:t>Charltons is not responsible for any third party content which can be accessed through the website.</w:t>
      </w:r>
    </w:p>
    <w:p w:rsidR="00493B10" w:rsidRDefault="00B36056">
      <w:pPr>
        <w:pStyle w:val="Disclaimer"/>
      </w:pPr>
      <w:r>
        <w:t>If you do not wish to receive this newsletter please let</w:t>
      </w:r>
      <w:r>
        <w:t xml:space="preserve"> us know by emailing us at  </w:t>
      </w:r>
      <w:hyperlink>
        <w:r>
          <w:t>unsubscribe@charltonslaw.com</w:t>
        </w:r>
      </w:hyperlink>
    </w:p>
    <w:p w:rsidR="00493B10" w:rsidRDefault="00B36056">
      <w:pPr>
        <w:pStyle w:val="BlackStrips"/>
      </w:pPr>
      <w:r>
        <w:t>Charltons - Myanmar Law - 27 July 2018</w:t>
      </w:r>
    </w:p>
    <w:sectPr w:rsidR="00493B1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056">
      <w:pPr>
        <w:spacing w:after="0"/>
      </w:pPr>
      <w:r>
        <w:separator/>
      </w:r>
    </w:p>
  </w:endnote>
  <w:endnote w:type="continuationSeparator" w:id="0">
    <w:p w:rsidR="00000000" w:rsidRDefault="00B360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10" w:rsidRDefault="00B36056">
      <w:r>
        <w:separator/>
      </w:r>
    </w:p>
  </w:footnote>
  <w:footnote w:type="continuationSeparator" w:id="0">
    <w:p w:rsidR="00493B10" w:rsidRDefault="00B3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C4"/>
    <w:multiLevelType w:val="hybridMultilevel"/>
    <w:tmpl w:val="E6A2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341E4"/>
    <w:multiLevelType w:val="hybridMultilevel"/>
    <w:tmpl w:val="234E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7467E"/>
    <w:multiLevelType w:val="hybridMultilevel"/>
    <w:tmpl w:val="208A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E63C1"/>
    <w:multiLevelType w:val="hybridMultilevel"/>
    <w:tmpl w:val="41E0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5F7C2"/>
    <w:multiLevelType w:val="multilevel"/>
    <w:tmpl w:val="71B216D4"/>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5">
    <w:nsid w:val="6A281BE7"/>
    <w:multiLevelType w:val="multilevel"/>
    <w:tmpl w:val="8F22B7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6">
    <w:nsid w:val="7C115D1C"/>
    <w:multiLevelType w:val="hybridMultilevel"/>
    <w:tmpl w:val="86DE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0MbcwMjazNDMwsDBR0lEKTi0uzszPAykwrAUAbndYZCwAAAA="/>
  </w:docVars>
  <w:rsids>
    <w:rsidRoot w:val="00590D07"/>
    <w:rsid w:val="00011C8B"/>
    <w:rsid w:val="00493B10"/>
    <w:rsid w:val="004E29B3"/>
    <w:rsid w:val="00590D07"/>
    <w:rsid w:val="00784D58"/>
    <w:rsid w:val="008D6863"/>
    <w:rsid w:val="00B3605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1688</Words>
  <Characters>9623</Characters>
  <Application>Microsoft Office Word</Application>
  <DocSecurity>0</DocSecurity>
  <Lines>80</Lines>
  <Paragraphs>22</Paragraphs>
  <ScaleCrop>false</ScaleCrop>
  <Company>Microsoft</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2018-07-27T06:47:00Z</dcterms:created>
  <dcterms:modified xsi:type="dcterms:W3CDTF">2018-07-27T06:51:00Z</dcterms:modified>
</cp:coreProperties>
</file>