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7E" w:rsidRPr="00F06F33" w:rsidRDefault="001D7C7E">
      <w:pPr>
        <w:pStyle w:val="Title"/>
      </w:pPr>
    </w:p>
    <w:p w:rsidR="001D7C7E" w:rsidRPr="00D53B50" w:rsidRDefault="00D53B50" w:rsidP="00B34508">
      <w:pPr>
        <w:pStyle w:val="Title"/>
        <w:jc w:val="both"/>
        <w:rPr>
          <w:bCs w:val="0"/>
          <w:u w:val="none"/>
        </w:rPr>
      </w:pPr>
      <w:r w:rsidRPr="00D53B50">
        <w:rPr>
          <w:bCs w:val="0"/>
          <w:u w:val="none"/>
        </w:rPr>
        <w:t>Memorandum</w:t>
      </w:r>
      <w:r w:rsidR="00B34508" w:rsidRPr="00D53B50">
        <w:rPr>
          <w:bCs w:val="0"/>
          <w:u w:val="none"/>
          <w:lang w:eastAsia="zh-TW"/>
        </w:rPr>
        <w:t xml:space="preserve"> </w:t>
      </w:r>
      <w:r w:rsidRPr="00D53B50">
        <w:rPr>
          <w:bCs w:val="0"/>
          <w:u w:val="none"/>
          <w:lang w:eastAsia="zh-TW"/>
        </w:rPr>
        <w:t xml:space="preserve">regarding </w:t>
      </w:r>
      <w:r w:rsidRPr="00D53B50">
        <w:rPr>
          <w:bCs w:val="0"/>
          <w:u w:val="none"/>
          <w:lang w:val="en-US" w:eastAsia="zh-TW"/>
        </w:rPr>
        <w:t xml:space="preserve">model production sharing contract for the exploration and production of petroleum for onshore blocks issued by the Government of the Union of Myanmar (May 2013) </w:t>
      </w:r>
    </w:p>
    <w:p w:rsidR="001D7C7E" w:rsidRPr="00F06F33" w:rsidRDefault="001D7C7E">
      <w:pPr>
        <w:pStyle w:val="BodyText"/>
        <w:adjustRightInd w:val="0"/>
        <w:snapToGrid w:val="0"/>
      </w:pPr>
    </w:p>
    <w:p w:rsidR="001D7C7E" w:rsidRPr="00F06F33" w:rsidRDefault="001D7C7E">
      <w:pPr>
        <w:pBdr>
          <w:bottom w:val="single" w:sz="4" w:space="1" w:color="auto"/>
        </w:pBdr>
        <w:jc w:val="both"/>
      </w:pPr>
    </w:p>
    <w:p w:rsidR="001D7C7E" w:rsidRPr="00F06F33" w:rsidRDefault="001D7C7E">
      <w:pPr>
        <w:jc w:val="both"/>
      </w:pPr>
    </w:p>
    <w:p w:rsidR="002430F1" w:rsidRDefault="00F06F33">
      <w:pPr>
        <w:jc w:val="both"/>
      </w:pPr>
      <w:bookmarkStart w:id="0" w:name="Subject"/>
      <w:bookmarkEnd w:id="0"/>
      <w:r w:rsidRPr="00F06F33">
        <w:t xml:space="preserve">We set out below a general analysis </w:t>
      </w:r>
      <w:r w:rsidR="00B471C9">
        <w:t>of the main terms o</w:t>
      </w:r>
      <w:r w:rsidR="00B471C9" w:rsidRPr="00B471C9">
        <w:t xml:space="preserve">f the draft </w:t>
      </w:r>
      <w:r w:rsidR="00B471C9">
        <w:rPr>
          <w:lang w:val="en-US"/>
        </w:rPr>
        <w:t xml:space="preserve">model production </w:t>
      </w:r>
      <w:r w:rsidR="00B471C9" w:rsidRPr="00B471C9">
        <w:rPr>
          <w:lang w:val="en-US"/>
        </w:rPr>
        <w:t xml:space="preserve">sharing contract for the exploration and production of petroleum for onshore blocks issued by the </w:t>
      </w:r>
      <w:r w:rsidR="00B471C9">
        <w:rPr>
          <w:lang w:val="en-US"/>
        </w:rPr>
        <w:t>G</w:t>
      </w:r>
      <w:r w:rsidR="00B471C9" w:rsidRPr="00B471C9">
        <w:rPr>
          <w:lang w:val="en-US"/>
        </w:rPr>
        <w:t xml:space="preserve">overnment of the </w:t>
      </w:r>
      <w:r w:rsidR="00B471C9">
        <w:rPr>
          <w:lang w:val="en-US"/>
        </w:rPr>
        <w:t>U</w:t>
      </w:r>
      <w:r w:rsidR="00B471C9" w:rsidRPr="00B471C9">
        <w:rPr>
          <w:lang w:val="en-US"/>
        </w:rPr>
        <w:t xml:space="preserve">nion of </w:t>
      </w:r>
      <w:r w:rsidR="00B471C9">
        <w:rPr>
          <w:lang w:val="en-US"/>
        </w:rPr>
        <w:t xml:space="preserve">Myanmar in May </w:t>
      </w:r>
      <w:r w:rsidR="00B471C9" w:rsidRPr="00B471C9">
        <w:rPr>
          <w:lang w:val="en-US"/>
        </w:rPr>
        <w:t>2013</w:t>
      </w:r>
      <w:r w:rsidR="00B471C9">
        <w:rPr>
          <w:lang w:val="en-US"/>
        </w:rPr>
        <w:t xml:space="preserve"> </w:t>
      </w:r>
      <w:r w:rsidR="002430F1">
        <w:t>(the “</w:t>
      </w:r>
      <w:r w:rsidR="002430F1" w:rsidRPr="002430F1">
        <w:rPr>
          <w:b/>
        </w:rPr>
        <w:t>Myanmar PSC</w:t>
      </w:r>
      <w:r w:rsidR="002430F1">
        <w:t xml:space="preserve">”). </w:t>
      </w:r>
      <w:r w:rsidR="00B471C9">
        <w:t xml:space="preserve">In particular, we suggest certain amendments that could be made to the Myanmar PSC in order to improve the position of the “Contractor” thereunder and raise other issues for consideration. </w:t>
      </w:r>
      <w:r w:rsidR="002430F1">
        <w:t>In conjunction with this Memorandum, we have also prepared a table comparing certain key terms of the Myanmar PSC against production sharing contracts (“</w:t>
      </w:r>
      <w:r w:rsidR="002430F1" w:rsidRPr="002430F1">
        <w:rPr>
          <w:b/>
        </w:rPr>
        <w:t>PSCs</w:t>
      </w:r>
      <w:r w:rsidR="002430F1">
        <w:t>”) in other jurisdictions (the “</w:t>
      </w:r>
      <w:r w:rsidR="002430F1" w:rsidRPr="002430F1">
        <w:rPr>
          <w:b/>
        </w:rPr>
        <w:t>PSC Comparison Table</w:t>
      </w:r>
      <w:r w:rsidR="002430F1">
        <w:t xml:space="preserve">”). </w:t>
      </w:r>
    </w:p>
    <w:p w:rsidR="002430F1" w:rsidRDefault="002430F1">
      <w:pPr>
        <w:jc w:val="both"/>
      </w:pPr>
    </w:p>
    <w:p w:rsidR="002A144C" w:rsidRPr="00F06F33" w:rsidRDefault="00AA2C6D">
      <w:pPr>
        <w:jc w:val="both"/>
      </w:pPr>
      <w:r>
        <w:t xml:space="preserve">Unless otherwise defined, capitalised terms used in this Memorandum shall have the same meanings as set in the </w:t>
      </w:r>
      <w:r w:rsidR="00D53B50">
        <w:t xml:space="preserve">Myanmar </w:t>
      </w:r>
      <w:r>
        <w:t xml:space="preserve">PSC. </w:t>
      </w:r>
    </w:p>
    <w:p w:rsidR="002A144C" w:rsidRPr="00F06F33" w:rsidRDefault="002A144C">
      <w:pPr>
        <w:jc w:val="both"/>
      </w:pPr>
    </w:p>
    <w:p w:rsidR="00700D18" w:rsidRPr="00AA2C6D" w:rsidRDefault="00AA2C6D" w:rsidP="00403059">
      <w:pPr>
        <w:numPr>
          <w:ilvl w:val="0"/>
          <w:numId w:val="29"/>
        </w:numPr>
        <w:tabs>
          <w:tab w:val="num" w:pos="720"/>
        </w:tabs>
        <w:ind w:hanging="720"/>
        <w:jc w:val="both"/>
        <w:rPr>
          <w:b/>
          <w:bCs/>
        </w:rPr>
      </w:pPr>
      <w:r>
        <w:rPr>
          <w:b/>
          <w:bCs/>
        </w:rPr>
        <w:t>Term (section 3</w:t>
      </w:r>
      <w:r w:rsidR="00F06F33" w:rsidRPr="00AA2C6D">
        <w:rPr>
          <w:b/>
          <w:bCs/>
        </w:rPr>
        <w:t>)</w:t>
      </w:r>
    </w:p>
    <w:p w:rsidR="00700D18" w:rsidRPr="00F06F33" w:rsidRDefault="00700D18" w:rsidP="00700D18">
      <w:pPr>
        <w:jc w:val="both"/>
        <w:rPr>
          <w:bCs/>
        </w:rPr>
      </w:pPr>
    </w:p>
    <w:p w:rsidR="00F06F33" w:rsidRPr="00F06F33" w:rsidRDefault="00AA2C6D" w:rsidP="00F06F33">
      <w:pPr>
        <w:numPr>
          <w:ilvl w:val="1"/>
          <w:numId w:val="29"/>
        </w:numPr>
        <w:ind w:hanging="750"/>
        <w:jc w:val="both"/>
        <w:rPr>
          <w:bCs/>
        </w:rPr>
      </w:pPr>
      <w:r>
        <w:rPr>
          <w:bCs/>
        </w:rPr>
        <w:t xml:space="preserve">Section 3 </w:t>
      </w:r>
      <w:r w:rsidR="00F06F33" w:rsidRPr="00F06F33">
        <w:rPr>
          <w:bCs/>
        </w:rPr>
        <w:t xml:space="preserve">(which covers the term of – and potential extensions to – the exploration and development / production periods) is broadly acceptable and gives </w:t>
      </w:r>
      <w:r>
        <w:rPr>
          <w:bCs/>
        </w:rPr>
        <w:t xml:space="preserve">the </w:t>
      </w:r>
      <w:r w:rsidR="00F06F33" w:rsidRPr="00F06F33">
        <w:rPr>
          <w:bCs/>
        </w:rPr>
        <w:t xml:space="preserve">Contractor a fairly broad discretion to extend exploration periods. It also allows for automatic extension of the exploration period to allow for completion of seismic or drilling operations or to appraise a discovery. </w:t>
      </w:r>
    </w:p>
    <w:p w:rsidR="00F06F33" w:rsidRPr="00F06F33" w:rsidRDefault="00F06F33" w:rsidP="00AA2C6D">
      <w:pPr>
        <w:ind w:left="750"/>
        <w:jc w:val="both"/>
        <w:rPr>
          <w:bCs/>
        </w:rPr>
      </w:pPr>
    </w:p>
    <w:p w:rsidR="00F06F33" w:rsidRPr="00F06F33" w:rsidRDefault="00F06F33" w:rsidP="00F06F33">
      <w:pPr>
        <w:numPr>
          <w:ilvl w:val="1"/>
          <w:numId w:val="29"/>
        </w:numPr>
        <w:ind w:hanging="750"/>
        <w:jc w:val="both"/>
        <w:rPr>
          <w:bCs/>
        </w:rPr>
      </w:pPr>
      <w:r w:rsidRPr="00F06F33">
        <w:rPr>
          <w:bCs/>
        </w:rPr>
        <w:t xml:space="preserve">There are some possible amendments / improvements </w:t>
      </w:r>
      <w:r w:rsidR="00282AE2">
        <w:t>Contractor</w:t>
      </w:r>
      <w:r w:rsidR="00282AE2" w:rsidRPr="00F06F33">
        <w:rPr>
          <w:bCs/>
        </w:rPr>
        <w:t xml:space="preserve"> </w:t>
      </w:r>
      <w:r w:rsidRPr="00F06F33">
        <w:rPr>
          <w:bCs/>
        </w:rPr>
        <w:t>may consider, as set out below.</w:t>
      </w:r>
    </w:p>
    <w:p w:rsidR="00F06F33" w:rsidRPr="00F06F33" w:rsidRDefault="00F06F33" w:rsidP="00AA2C6D">
      <w:pPr>
        <w:ind w:left="750"/>
        <w:jc w:val="both"/>
        <w:rPr>
          <w:bCs/>
        </w:rPr>
      </w:pPr>
    </w:p>
    <w:p w:rsidR="00F06F33" w:rsidRPr="00F06F33" w:rsidRDefault="00F06F33" w:rsidP="00AA2C6D">
      <w:pPr>
        <w:ind w:left="750"/>
        <w:jc w:val="both"/>
        <w:rPr>
          <w:bCs/>
          <w:i/>
          <w:lang w:val="en-US"/>
        </w:rPr>
      </w:pPr>
      <w:r w:rsidRPr="00F06F33">
        <w:rPr>
          <w:bCs/>
          <w:i/>
          <w:lang w:val="en-US"/>
        </w:rPr>
        <w:t>Extension of Exploration Period during consideration of Development Plan</w:t>
      </w:r>
    </w:p>
    <w:p w:rsidR="00F06F33" w:rsidRPr="00F06F33" w:rsidRDefault="00F06F33" w:rsidP="00AA2C6D">
      <w:pPr>
        <w:ind w:left="750"/>
        <w:jc w:val="both"/>
        <w:rPr>
          <w:bCs/>
          <w:lang w:val="en-US"/>
        </w:rPr>
      </w:pPr>
    </w:p>
    <w:p w:rsidR="00F06F33" w:rsidRPr="00F06F33" w:rsidRDefault="00282AE2" w:rsidP="00F06F33">
      <w:pPr>
        <w:numPr>
          <w:ilvl w:val="1"/>
          <w:numId w:val="29"/>
        </w:numPr>
        <w:ind w:hanging="750"/>
        <w:jc w:val="both"/>
        <w:rPr>
          <w:bCs/>
          <w:lang w:val="en-US"/>
        </w:rPr>
      </w:pPr>
      <w:r>
        <w:t>Contractor</w:t>
      </w:r>
      <w:r w:rsidRPr="00F06F33">
        <w:rPr>
          <w:bCs/>
          <w:lang w:val="en-US"/>
        </w:rPr>
        <w:t xml:space="preserve"> </w:t>
      </w:r>
      <w:r w:rsidR="00F06F33" w:rsidRPr="00F06F33">
        <w:rPr>
          <w:bCs/>
          <w:lang w:val="en-US"/>
        </w:rPr>
        <w:t>may consider amending section 3 to provide for automatic extension of the Exploration Period if a development plan for development of a Commercial Discovery is under consideration (at least in respect of that part of the Contract Area to which the development plan relates) (</w:t>
      </w:r>
      <w:r w:rsidR="00AA2C6D">
        <w:rPr>
          <w:bCs/>
          <w:lang w:val="en-US"/>
        </w:rPr>
        <w:t>a similar provision is contained in the India PSC</w:t>
      </w:r>
      <w:r w:rsidR="00F06F33" w:rsidRPr="00F06F33">
        <w:rPr>
          <w:bCs/>
          <w:lang w:val="en-US"/>
        </w:rPr>
        <w:t>).</w:t>
      </w:r>
    </w:p>
    <w:p w:rsidR="00F06F33" w:rsidRPr="00F06F33" w:rsidRDefault="00F06F33" w:rsidP="00AA2C6D">
      <w:pPr>
        <w:ind w:left="750"/>
        <w:jc w:val="both"/>
        <w:rPr>
          <w:bCs/>
          <w:lang w:val="en-US"/>
        </w:rPr>
      </w:pPr>
    </w:p>
    <w:p w:rsidR="00F06F33" w:rsidRPr="00F06F33" w:rsidRDefault="00F06F33" w:rsidP="00AA2C6D">
      <w:pPr>
        <w:ind w:left="750"/>
        <w:jc w:val="both"/>
        <w:rPr>
          <w:bCs/>
          <w:i/>
        </w:rPr>
      </w:pPr>
      <w:r w:rsidRPr="00F06F33">
        <w:rPr>
          <w:bCs/>
          <w:i/>
        </w:rPr>
        <w:t>Commencement of Development and Production Period</w:t>
      </w:r>
    </w:p>
    <w:p w:rsidR="00F06F33" w:rsidRPr="00F06F33" w:rsidRDefault="00F06F33" w:rsidP="00AA2C6D">
      <w:pPr>
        <w:ind w:left="720"/>
        <w:jc w:val="both"/>
        <w:rPr>
          <w:bCs/>
        </w:rPr>
      </w:pPr>
    </w:p>
    <w:p w:rsidR="00F06F33" w:rsidRPr="00F06F33" w:rsidRDefault="00F06F33" w:rsidP="00F06F33">
      <w:pPr>
        <w:numPr>
          <w:ilvl w:val="1"/>
          <w:numId w:val="29"/>
        </w:numPr>
        <w:ind w:hanging="750"/>
        <w:jc w:val="both"/>
        <w:rPr>
          <w:bCs/>
        </w:rPr>
      </w:pPr>
      <w:r w:rsidRPr="00F06F33">
        <w:rPr>
          <w:bCs/>
        </w:rPr>
        <w:t>In section 3, the Development and Production Period runs from the time o</w:t>
      </w:r>
      <w:r w:rsidR="00AA2C6D">
        <w:rPr>
          <w:bCs/>
        </w:rPr>
        <w:t>f declaring a Commercial Discovery</w:t>
      </w:r>
      <w:r w:rsidRPr="00F06F33">
        <w:rPr>
          <w:bCs/>
        </w:rPr>
        <w:t xml:space="preserve"> in the Contract Area (section 3.5). However, after declaring a Commercial Discovery, the Contractor is still required to submit and finalise a “Development Plan” under section 8, and this process could take over a year (from preparation of the plan to government approval and finalisation). </w:t>
      </w:r>
    </w:p>
    <w:p w:rsidR="00F06F33" w:rsidRPr="00F06F33" w:rsidRDefault="00F06F33" w:rsidP="00AA2C6D">
      <w:pPr>
        <w:ind w:left="750"/>
        <w:jc w:val="both"/>
        <w:rPr>
          <w:bCs/>
        </w:rPr>
      </w:pPr>
    </w:p>
    <w:p w:rsidR="00F06F33" w:rsidRPr="00F06F33" w:rsidRDefault="00282AE2" w:rsidP="00F06F33">
      <w:pPr>
        <w:numPr>
          <w:ilvl w:val="1"/>
          <w:numId w:val="29"/>
        </w:numPr>
        <w:ind w:hanging="750"/>
        <w:jc w:val="both"/>
        <w:rPr>
          <w:bCs/>
          <w:lang w:val="en-US"/>
        </w:rPr>
      </w:pPr>
      <w:r>
        <w:t>Contractor</w:t>
      </w:r>
      <w:r w:rsidRPr="00F06F33">
        <w:rPr>
          <w:bCs/>
        </w:rPr>
        <w:t xml:space="preserve"> </w:t>
      </w:r>
      <w:r w:rsidR="00F06F33" w:rsidRPr="00F06F33">
        <w:rPr>
          <w:bCs/>
        </w:rPr>
        <w:t>may want to amend this section so that the Development and Production Period only runs from the date of finalisation of the Development Plan. This would be similar to the Mauritania PSC</w:t>
      </w:r>
      <w:r w:rsidR="00AA2C6D">
        <w:rPr>
          <w:bCs/>
        </w:rPr>
        <w:t xml:space="preserve">, </w:t>
      </w:r>
      <w:r w:rsidR="00F06F33" w:rsidRPr="00F06F33">
        <w:rPr>
          <w:bCs/>
        </w:rPr>
        <w:t xml:space="preserve">where </w:t>
      </w:r>
      <w:r w:rsidR="00F06F33" w:rsidRPr="00F06F33">
        <w:rPr>
          <w:bCs/>
          <w:lang w:val="en-US"/>
        </w:rPr>
        <w:t xml:space="preserve">granting of the exclusive exploitation authorization occurs within a certain number of days following approval of the development and production programme (and the development / production period runs from the date of authorisation grant). </w:t>
      </w:r>
    </w:p>
    <w:p w:rsidR="00F06F33" w:rsidRPr="00F06F33" w:rsidRDefault="00F06F33" w:rsidP="00AA2C6D">
      <w:pPr>
        <w:ind w:left="750"/>
        <w:jc w:val="both"/>
        <w:rPr>
          <w:bCs/>
          <w:lang w:val="en-US"/>
        </w:rPr>
      </w:pPr>
    </w:p>
    <w:p w:rsidR="00F06F33" w:rsidRPr="00F06F33" w:rsidRDefault="00F06F33" w:rsidP="00F06F33">
      <w:pPr>
        <w:numPr>
          <w:ilvl w:val="1"/>
          <w:numId w:val="29"/>
        </w:numPr>
        <w:ind w:hanging="750"/>
        <w:jc w:val="both"/>
        <w:rPr>
          <w:bCs/>
        </w:rPr>
      </w:pPr>
      <w:r w:rsidRPr="00F06F33">
        <w:rPr>
          <w:bCs/>
        </w:rPr>
        <w:t xml:space="preserve">Alternatively, as per the Indian PSC </w:t>
      </w:r>
      <w:r w:rsidR="00AA2C6D">
        <w:rPr>
          <w:bCs/>
        </w:rPr>
        <w:t>or the Madagascar PSC</w:t>
      </w:r>
      <w:r w:rsidRPr="00F06F33">
        <w:rPr>
          <w:bCs/>
        </w:rPr>
        <w:t xml:space="preserve">, </w:t>
      </w:r>
      <w:r w:rsidR="00282AE2">
        <w:t>Contractor</w:t>
      </w:r>
      <w:r w:rsidR="00282AE2" w:rsidRPr="00F06F33">
        <w:rPr>
          <w:bCs/>
        </w:rPr>
        <w:t xml:space="preserve"> </w:t>
      </w:r>
      <w:r w:rsidRPr="00F06F33">
        <w:rPr>
          <w:bCs/>
        </w:rPr>
        <w:t>could amend so that the Development and Production Period only runs from the time of grant of the corresponding development / production lease / mining title.</w:t>
      </w:r>
    </w:p>
    <w:p w:rsidR="00F06F33" w:rsidRPr="00F06F33" w:rsidRDefault="00F06F33" w:rsidP="00AA2C6D">
      <w:pPr>
        <w:ind w:left="750"/>
        <w:jc w:val="both"/>
        <w:rPr>
          <w:bCs/>
        </w:rPr>
      </w:pPr>
    </w:p>
    <w:p w:rsidR="00F06F33" w:rsidRPr="00F06F33" w:rsidRDefault="00F06F33" w:rsidP="00AA2C6D">
      <w:pPr>
        <w:ind w:left="750"/>
        <w:jc w:val="both"/>
        <w:rPr>
          <w:bCs/>
          <w:i/>
        </w:rPr>
      </w:pPr>
      <w:r w:rsidRPr="00F06F33">
        <w:rPr>
          <w:bCs/>
          <w:i/>
        </w:rPr>
        <w:t>Production run-off following expiry of Development and Production Period</w:t>
      </w:r>
    </w:p>
    <w:p w:rsidR="00F06F33" w:rsidRPr="00F06F33" w:rsidRDefault="00F06F33" w:rsidP="00AA2C6D">
      <w:pPr>
        <w:ind w:left="750"/>
        <w:jc w:val="both"/>
        <w:rPr>
          <w:bCs/>
        </w:rPr>
      </w:pPr>
    </w:p>
    <w:p w:rsidR="00F06F33" w:rsidRPr="00403059" w:rsidRDefault="00282AE2" w:rsidP="00403059">
      <w:pPr>
        <w:pStyle w:val="ListParagraph"/>
        <w:numPr>
          <w:ilvl w:val="1"/>
          <w:numId w:val="29"/>
        </w:numPr>
        <w:jc w:val="both"/>
        <w:rPr>
          <w:bCs/>
          <w:lang w:val="en-US"/>
        </w:rPr>
      </w:pPr>
      <w:r>
        <w:t>Contractor</w:t>
      </w:r>
      <w:r w:rsidRPr="00403059">
        <w:rPr>
          <w:bCs/>
          <w:lang w:val="en-US"/>
        </w:rPr>
        <w:t xml:space="preserve"> </w:t>
      </w:r>
      <w:r w:rsidR="00F06F33" w:rsidRPr="00403059">
        <w:rPr>
          <w:bCs/>
          <w:lang w:val="en-US"/>
        </w:rPr>
        <w:t xml:space="preserve">may wish to add a provision regarding expiry of the Development and Production Period so that if commercial production from a particular production area is still possible, </w:t>
      </w:r>
      <w:r w:rsidR="00403059" w:rsidRPr="00403059">
        <w:rPr>
          <w:bCs/>
          <w:lang w:val="en-US"/>
        </w:rPr>
        <w:t xml:space="preserve">the </w:t>
      </w:r>
      <w:r w:rsidR="00F06F33" w:rsidRPr="00403059">
        <w:rPr>
          <w:bCs/>
          <w:lang w:val="en-US"/>
        </w:rPr>
        <w:t>Contractor can request an extension of the applicable Development and Production Period, for</w:t>
      </w:r>
      <w:r w:rsidR="00403059" w:rsidRPr="00403059">
        <w:rPr>
          <w:bCs/>
          <w:lang w:val="en-US"/>
        </w:rPr>
        <w:t xml:space="preserve"> example, by five</w:t>
      </w:r>
      <w:r w:rsidR="00F06F33" w:rsidRPr="00403059">
        <w:rPr>
          <w:bCs/>
          <w:lang w:val="en-US"/>
        </w:rPr>
        <w:t xml:space="preserve"> years (</w:t>
      </w:r>
      <w:r w:rsidR="00403059" w:rsidRPr="00403059">
        <w:rPr>
          <w:bCs/>
          <w:lang w:val="en-US"/>
        </w:rPr>
        <w:t xml:space="preserve">as is the case in </w:t>
      </w:r>
      <w:r w:rsidR="00F06F33" w:rsidRPr="00403059">
        <w:rPr>
          <w:bCs/>
          <w:lang w:val="en-US"/>
        </w:rPr>
        <w:t>the Kurdistan PSC</w:t>
      </w:r>
      <w:r w:rsidR="00403059" w:rsidRPr="00403059">
        <w:rPr>
          <w:bCs/>
          <w:lang w:val="en-US"/>
        </w:rPr>
        <w:t>)</w:t>
      </w:r>
      <w:r w:rsidR="00F06F33" w:rsidRPr="00403059">
        <w:rPr>
          <w:bCs/>
          <w:lang w:val="en-US"/>
        </w:rPr>
        <w:t>, or possibly longer in the event of a commercial production of non</w:t>
      </w:r>
      <w:r w:rsidR="00403059" w:rsidRPr="00403059">
        <w:rPr>
          <w:bCs/>
          <w:lang w:val="en-US"/>
        </w:rPr>
        <w:t>-</w:t>
      </w:r>
      <w:r w:rsidR="00F06F33" w:rsidRPr="00403059">
        <w:rPr>
          <w:bCs/>
          <w:lang w:val="en-US"/>
        </w:rPr>
        <w:t>associated natural gas (see</w:t>
      </w:r>
      <w:r w:rsidR="00403059" w:rsidRPr="00403059">
        <w:rPr>
          <w:bCs/>
          <w:lang w:val="en-US"/>
        </w:rPr>
        <w:t xml:space="preserve">, for example, </w:t>
      </w:r>
      <w:r w:rsidR="00F06F33" w:rsidRPr="00403059">
        <w:rPr>
          <w:bCs/>
          <w:lang w:val="en-US"/>
        </w:rPr>
        <w:t xml:space="preserve">the India PSC, 11.5(b)). </w:t>
      </w:r>
    </w:p>
    <w:p w:rsidR="00F06F33" w:rsidRPr="00F06F33" w:rsidRDefault="00F06F33" w:rsidP="00403059">
      <w:pPr>
        <w:ind w:left="750"/>
        <w:jc w:val="both"/>
        <w:rPr>
          <w:bCs/>
        </w:rPr>
      </w:pPr>
    </w:p>
    <w:p w:rsidR="00403059" w:rsidRDefault="00AB0B7D" w:rsidP="00403059">
      <w:pPr>
        <w:pStyle w:val="ListParagraph"/>
        <w:numPr>
          <w:ilvl w:val="0"/>
          <w:numId w:val="29"/>
        </w:numPr>
        <w:tabs>
          <w:tab w:val="num" w:pos="720"/>
        </w:tabs>
        <w:ind w:hanging="720"/>
        <w:jc w:val="both"/>
        <w:rPr>
          <w:b/>
          <w:bCs/>
        </w:rPr>
      </w:pPr>
      <w:r>
        <w:rPr>
          <w:b/>
          <w:bCs/>
        </w:rPr>
        <w:t>Relinquishments (section 4)</w:t>
      </w:r>
    </w:p>
    <w:p w:rsidR="00403059" w:rsidRPr="00AB0B7D" w:rsidRDefault="00403059" w:rsidP="00AB0B7D">
      <w:pPr>
        <w:pStyle w:val="ListParagraph"/>
        <w:ind w:left="737"/>
        <w:jc w:val="both"/>
        <w:rPr>
          <w:b/>
          <w:bCs/>
        </w:rPr>
      </w:pPr>
    </w:p>
    <w:p w:rsidR="004417D5" w:rsidRDefault="00AB0B7D" w:rsidP="00AB0B7D">
      <w:pPr>
        <w:pStyle w:val="ListParagraph"/>
        <w:numPr>
          <w:ilvl w:val="1"/>
          <w:numId w:val="29"/>
        </w:numPr>
        <w:jc w:val="both"/>
        <w:rPr>
          <w:bCs/>
        </w:rPr>
      </w:pPr>
      <w:r>
        <w:rPr>
          <w:bCs/>
        </w:rPr>
        <w:t xml:space="preserve">Section 4.1 provides for automatic relinquishment of areas within the Contract Area on expiry of the Exploration Period. Section 4.2 allows for voluntary relinquishment by the Contractor. </w:t>
      </w:r>
    </w:p>
    <w:p w:rsidR="004417D5" w:rsidRDefault="004417D5" w:rsidP="004417D5">
      <w:pPr>
        <w:pStyle w:val="ListParagraph"/>
        <w:ind w:left="737"/>
        <w:jc w:val="both"/>
        <w:rPr>
          <w:bCs/>
        </w:rPr>
      </w:pPr>
    </w:p>
    <w:p w:rsidR="004417D5" w:rsidRPr="004417D5" w:rsidRDefault="004417D5" w:rsidP="004417D5">
      <w:pPr>
        <w:pStyle w:val="ListParagraph"/>
        <w:ind w:left="737"/>
        <w:jc w:val="both"/>
        <w:rPr>
          <w:bCs/>
          <w:i/>
        </w:rPr>
      </w:pPr>
      <w:r>
        <w:rPr>
          <w:bCs/>
          <w:i/>
        </w:rPr>
        <w:t>Phased relinquishment</w:t>
      </w:r>
    </w:p>
    <w:p w:rsidR="004417D5" w:rsidRPr="004417D5" w:rsidRDefault="004417D5" w:rsidP="004417D5">
      <w:pPr>
        <w:jc w:val="both"/>
        <w:rPr>
          <w:bCs/>
        </w:rPr>
      </w:pPr>
    </w:p>
    <w:p w:rsidR="00AB0B7D" w:rsidRPr="00AB0B7D" w:rsidRDefault="00282AE2" w:rsidP="00AB0B7D">
      <w:pPr>
        <w:pStyle w:val="ListParagraph"/>
        <w:numPr>
          <w:ilvl w:val="1"/>
          <w:numId w:val="29"/>
        </w:numPr>
        <w:jc w:val="both"/>
        <w:rPr>
          <w:bCs/>
        </w:rPr>
      </w:pPr>
      <w:r>
        <w:t>Contractor</w:t>
      </w:r>
      <w:r w:rsidRPr="00AB0B7D">
        <w:rPr>
          <w:bCs/>
        </w:rPr>
        <w:t xml:space="preserve"> </w:t>
      </w:r>
      <w:r w:rsidR="00AB0B7D" w:rsidRPr="00AB0B7D">
        <w:rPr>
          <w:bCs/>
        </w:rPr>
        <w:t xml:space="preserve">should note that there is no </w:t>
      </w:r>
      <w:r w:rsidR="004417D5">
        <w:rPr>
          <w:bCs/>
        </w:rPr>
        <w:t xml:space="preserve">phased </w:t>
      </w:r>
      <w:r w:rsidR="00AB0B7D" w:rsidRPr="00AB0B7D">
        <w:rPr>
          <w:bCs/>
        </w:rPr>
        <w:t xml:space="preserve">relinquishment </w:t>
      </w:r>
      <w:r w:rsidR="004417D5">
        <w:rPr>
          <w:bCs/>
        </w:rPr>
        <w:t xml:space="preserve">under the PSC, so that the </w:t>
      </w:r>
      <w:r w:rsidR="00AB0B7D" w:rsidRPr="00AB0B7D">
        <w:rPr>
          <w:bCs/>
        </w:rPr>
        <w:t xml:space="preserve">entire Contract area other than all Discovery Areas and Development and Production Areas are </w:t>
      </w:r>
      <w:r w:rsidR="004417D5">
        <w:rPr>
          <w:bCs/>
        </w:rPr>
        <w:t xml:space="preserve">automatically </w:t>
      </w:r>
      <w:r w:rsidR="00AB0B7D" w:rsidRPr="00AB0B7D">
        <w:rPr>
          <w:bCs/>
        </w:rPr>
        <w:t>relinquished</w:t>
      </w:r>
      <w:r w:rsidR="004417D5">
        <w:rPr>
          <w:bCs/>
        </w:rPr>
        <w:t xml:space="preserve"> at the end of the Exploration Period</w:t>
      </w:r>
      <w:r w:rsidR="00AB0B7D" w:rsidRPr="00AB0B7D">
        <w:rPr>
          <w:bCs/>
        </w:rPr>
        <w:t xml:space="preserve">. </w:t>
      </w:r>
      <w:r w:rsidR="004417D5">
        <w:rPr>
          <w:bCs/>
        </w:rPr>
        <w:t xml:space="preserve">Under other </w:t>
      </w:r>
      <w:r w:rsidR="00AB0B7D" w:rsidRPr="00AB0B7D">
        <w:rPr>
          <w:bCs/>
        </w:rPr>
        <w:t xml:space="preserve">PSC regimes, </w:t>
      </w:r>
      <w:r w:rsidR="004417D5">
        <w:rPr>
          <w:bCs/>
        </w:rPr>
        <w:t xml:space="preserve">certain </w:t>
      </w:r>
      <w:r w:rsidR="00AB0B7D" w:rsidRPr="00AB0B7D">
        <w:rPr>
          <w:bCs/>
        </w:rPr>
        <w:t>percentages of the</w:t>
      </w:r>
      <w:r w:rsidR="004417D5">
        <w:rPr>
          <w:bCs/>
        </w:rPr>
        <w:t xml:space="preserve"> contract area are</w:t>
      </w:r>
      <w:r w:rsidR="00AB0B7D" w:rsidRPr="00AB0B7D">
        <w:rPr>
          <w:bCs/>
        </w:rPr>
        <w:t xml:space="preserve"> relinquished on </w:t>
      </w:r>
      <w:r w:rsidR="004417D5">
        <w:rPr>
          <w:bCs/>
        </w:rPr>
        <w:t xml:space="preserve">fixed dates </w:t>
      </w:r>
      <w:r w:rsidR="00AB0B7D" w:rsidRPr="00AB0B7D">
        <w:rPr>
          <w:bCs/>
        </w:rPr>
        <w:t xml:space="preserve">during or at the end of the </w:t>
      </w:r>
      <w:r w:rsidR="004417D5">
        <w:rPr>
          <w:bCs/>
        </w:rPr>
        <w:t>e</w:t>
      </w:r>
      <w:r w:rsidR="00AB0B7D" w:rsidRPr="00AB0B7D">
        <w:rPr>
          <w:bCs/>
        </w:rPr>
        <w:t>xploration period (</w:t>
      </w:r>
      <w:r w:rsidR="004417D5">
        <w:rPr>
          <w:bCs/>
        </w:rPr>
        <w:t xml:space="preserve">see for example the Madagascar, </w:t>
      </w:r>
      <w:r w:rsidR="00AB0B7D" w:rsidRPr="00AB0B7D">
        <w:rPr>
          <w:bCs/>
        </w:rPr>
        <w:t>Kurdistan and Bangladesh PSC</w:t>
      </w:r>
      <w:r w:rsidR="004417D5">
        <w:rPr>
          <w:bCs/>
        </w:rPr>
        <w:t>s</w:t>
      </w:r>
      <w:r w:rsidR="00AB0B7D" w:rsidRPr="00AB0B7D">
        <w:rPr>
          <w:bCs/>
        </w:rPr>
        <w:t>)</w:t>
      </w:r>
    </w:p>
    <w:p w:rsidR="00AB0B7D" w:rsidRDefault="00AB0B7D" w:rsidP="00AB0B7D">
      <w:pPr>
        <w:pStyle w:val="ListParagraph"/>
        <w:ind w:left="737"/>
        <w:jc w:val="both"/>
        <w:rPr>
          <w:b/>
          <w:bCs/>
        </w:rPr>
      </w:pPr>
    </w:p>
    <w:p w:rsidR="00F06F33" w:rsidRPr="00403059" w:rsidRDefault="00F06F33" w:rsidP="00403059">
      <w:pPr>
        <w:pStyle w:val="ListParagraph"/>
        <w:numPr>
          <w:ilvl w:val="0"/>
          <w:numId w:val="29"/>
        </w:numPr>
        <w:tabs>
          <w:tab w:val="num" w:pos="720"/>
        </w:tabs>
        <w:ind w:hanging="720"/>
        <w:jc w:val="both"/>
        <w:rPr>
          <w:b/>
          <w:bCs/>
        </w:rPr>
      </w:pPr>
      <w:r w:rsidRPr="00403059">
        <w:rPr>
          <w:b/>
          <w:bCs/>
        </w:rPr>
        <w:t>Minimum expenditure commitment</w:t>
      </w:r>
      <w:r w:rsidR="00AB0B7D">
        <w:rPr>
          <w:b/>
          <w:bCs/>
        </w:rPr>
        <w:t xml:space="preserve"> (section 5)</w:t>
      </w:r>
    </w:p>
    <w:p w:rsidR="00F06F33" w:rsidRPr="00F06F33" w:rsidRDefault="00F06F33" w:rsidP="00403059">
      <w:pPr>
        <w:ind w:left="737"/>
        <w:jc w:val="both"/>
        <w:rPr>
          <w:bCs/>
        </w:rPr>
      </w:pPr>
    </w:p>
    <w:p w:rsidR="00F06F33" w:rsidRPr="00F06F33" w:rsidRDefault="000E5F8D" w:rsidP="00F06F33">
      <w:pPr>
        <w:numPr>
          <w:ilvl w:val="1"/>
          <w:numId w:val="29"/>
        </w:numPr>
        <w:ind w:hanging="750"/>
        <w:jc w:val="both"/>
        <w:rPr>
          <w:bCs/>
        </w:rPr>
      </w:pPr>
      <w:r>
        <w:rPr>
          <w:bCs/>
        </w:rPr>
        <w:t xml:space="preserve">Section 5 </w:t>
      </w:r>
      <w:r w:rsidR="00F06F33" w:rsidRPr="00F06F33">
        <w:rPr>
          <w:bCs/>
        </w:rPr>
        <w:t>(which provides the framework for minimum expenditure during the Exploration Period) is broadly acceptable, although the minimum amounts are not yet specified</w:t>
      </w:r>
      <w:r w:rsidR="0089156D">
        <w:rPr>
          <w:bCs/>
        </w:rPr>
        <w:t xml:space="preserve">. Please refer to </w:t>
      </w:r>
      <w:r w:rsidR="002430F1">
        <w:rPr>
          <w:bCs/>
        </w:rPr>
        <w:t xml:space="preserve">the </w:t>
      </w:r>
      <w:r w:rsidR="00F06F33" w:rsidRPr="00F06F33">
        <w:rPr>
          <w:bCs/>
        </w:rPr>
        <w:t xml:space="preserve">PSC </w:t>
      </w:r>
      <w:r w:rsidR="002430F1">
        <w:rPr>
          <w:bCs/>
        </w:rPr>
        <w:t>Comparison T</w:t>
      </w:r>
      <w:r w:rsidR="00F06F33" w:rsidRPr="00F06F33">
        <w:rPr>
          <w:bCs/>
        </w:rPr>
        <w:t>able for some examples of minimum exp</w:t>
      </w:r>
      <w:r w:rsidR="0089156D">
        <w:rPr>
          <w:bCs/>
        </w:rPr>
        <w:t>enditures in third country PSCs</w:t>
      </w:r>
      <w:r w:rsidR="00F06F33" w:rsidRPr="00F06F33">
        <w:rPr>
          <w:bCs/>
        </w:rPr>
        <w:t xml:space="preserve">. </w:t>
      </w:r>
    </w:p>
    <w:p w:rsidR="0089156D" w:rsidRDefault="0089156D" w:rsidP="0089156D">
      <w:pPr>
        <w:ind w:left="737"/>
        <w:jc w:val="both"/>
        <w:rPr>
          <w:bCs/>
        </w:rPr>
      </w:pPr>
    </w:p>
    <w:p w:rsidR="0089156D" w:rsidRPr="0089156D" w:rsidRDefault="0089156D" w:rsidP="0089156D">
      <w:pPr>
        <w:ind w:left="720"/>
        <w:jc w:val="both"/>
        <w:rPr>
          <w:bCs/>
          <w:i/>
        </w:rPr>
      </w:pPr>
      <w:r>
        <w:rPr>
          <w:bCs/>
          <w:i/>
        </w:rPr>
        <w:t>Form of guarantee</w:t>
      </w:r>
    </w:p>
    <w:p w:rsidR="0089156D" w:rsidRDefault="0089156D" w:rsidP="0089156D">
      <w:pPr>
        <w:ind w:left="737"/>
        <w:jc w:val="both"/>
        <w:rPr>
          <w:bCs/>
        </w:rPr>
      </w:pPr>
    </w:p>
    <w:p w:rsidR="00F06F33" w:rsidRPr="00F06F33" w:rsidRDefault="00F06F33" w:rsidP="00F06F33">
      <w:pPr>
        <w:numPr>
          <w:ilvl w:val="1"/>
          <w:numId w:val="29"/>
        </w:numPr>
        <w:ind w:hanging="750"/>
        <w:jc w:val="both"/>
        <w:rPr>
          <w:bCs/>
        </w:rPr>
      </w:pPr>
      <w:r w:rsidRPr="00F06F33">
        <w:rPr>
          <w:bCs/>
        </w:rPr>
        <w:lastRenderedPageBreak/>
        <w:t xml:space="preserve">Under section 5, </w:t>
      </w:r>
      <w:r w:rsidR="0089156D">
        <w:rPr>
          <w:bCs/>
        </w:rPr>
        <w:t xml:space="preserve">the </w:t>
      </w:r>
      <w:r w:rsidRPr="00F06F33">
        <w:rPr>
          <w:bCs/>
        </w:rPr>
        <w:t xml:space="preserve">Contractor is required to provide a “Bank Guarantee or a Parent Company Guarantee” in the form set out in Annexure D in respect of the minimum expenditure commitment. This </w:t>
      </w:r>
      <w:r w:rsidR="0089156D">
        <w:rPr>
          <w:bCs/>
        </w:rPr>
        <w:t xml:space="preserve">provision </w:t>
      </w:r>
      <w:r w:rsidRPr="00F06F33">
        <w:rPr>
          <w:bCs/>
        </w:rPr>
        <w:t xml:space="preserve">seems to give </w:t>
      </w:r>
      <w:r w:rsidR="0089156D">
        <w:rPr>
          <w:bCs/>
        </w:rPr>
        <w:t xml:space="preserve">the </w:t>
      </w:r>
      <w:r w:rsidRPr="00F06F33">
        <w:rPr>
          <w:bCs/>
        </w:rPr>
        <w:t xml:space="preserve">Contractor the option of providing either a bank or a parent guarantee, which compares favourably to several other PSCs where a bank guarantee is required. </w:t>
      </w:r>
    </w:p>
    <w:p w:rsidR="00F06F33" w:rsidRPr="00F06F33" w:rsidRDefault="00F06F33" w:rsidP="0089156D">
      <w:pPr>
        <w:ind w:left="737"/>
        <w:jc w:val="both"/>
        <w:rPr>
          <w:bCs/>
        </w:rPr>
      </w:pPr>
    </w:p>
    <w:p w:rsidR="00F06F33" w:rsidRPr="00F06F33" w:rsidRDefault="00F06F33" w:rsidP="00F06F33">
      <w:pPr>
        <w:numPr>
          <w:ilvl w:val="1"/>
          <w:numId w:val="29"/>
        </w:numPr>
        <w:ind w:hanging="750"/>
        <w:jc w:val="both"/>
        <w:rPr>
          <w:bCs/>
        </w:rPr>
      </w:pPr>
      <w:r w:rsidRPr="00F06F33">
        <w:rPr>
          <w:bCs/>
        </w:rPr>
        <w:t xml:space="preserve">In any event, the form of guarantee in Annexure D is really only suitable as a parent guarantee, as a bank is unlikely to agree, for example to confirm that the Contractor is “financially sound and technically competent” and shall perform all of its obligations under the </w:t>
      </w:r>
      <w:r w:rsidR="0089156D">
        <w:rPr>
          <w:bCs/>
        </w:rPr>
        <w:t xml:space="preserve">Myanmar </w:t>
      </w:r>
      <w:r w:rsidRPr="00F06F33">
        <w:rPr>
          <w:bCs/>
        </w:rPr>
        <w:t>PSC.</w:t>
      </w:r>
      <w:r w:rsidR="0089156D">
        <w:rPr>
          <w:bCs/>
        </w:rPr>
        <w:t xml:space="preserve"> </w:t>
      </w:r>
    </w:p>
    <w:p w:rsidR="00F06F33" w:rsidRPr="00F06F33" w:rsidRDefault="00F06F33" w:rsidP="0089156D">
      <w:pPr>
        <w:ind w:left="737"/>
        <w:jc w:val="both"/>
        <w:rPr>
          <w:bCs/>
        </w:rPr>
      </w:pPr>
    </w:p>
    <w:p w:rsidR="00F06F33" w:rsidRPr="00F06F33" w:rsidRDefault="00F06F33" w:rsidP="00F06F33">
      <w:pPr>
        <w:numPr>
          <w:ilvl w:val="1"/>
          <w:numId w:val="29"/>
        </w:numPr>
        <w:ind w:hanging="750"/>
        <w:jc w:val="both"/>
        <w:rPr>
          <w:bCs/>
        </w:rPr>
      </w:pPr>
      <w:r w:rsidRPr="00F06F33">
        <w:rPr>
          <w:bCs/>
        </w:rPr>
        <w:t xml:space="preserve">To the extent that a bank guarantee is required under the </w:t>
      </w:r>
      <w:r w:rsidR="0089156D">
        <w:rPr>
          <w:bCs/>
        </w:rPr>
        <w:t xml:space="preserve">Myanmar </w:t>
      </w:r>
      <w:r w:rsidRPr="00F06F33">
        <w:rPr>
          <w:bCs/>
        </w:rPr>
        <w:t>PSC, th</w:t>
      </w:r>
      <w:r w:rsidR="00D53B50">
        <w:rPr>
          <w:bCs/>
        </w:rPr>
        <w:t>ere are certain safeguards that</w:t>
      </w:r>
      <w:r w:rsidRPr="00F06F33">
        <w:rPr>
          <w:bCs/>
        </w:rPr>
        <w:t xml:space="preserve"> could be included in section 5, as detailed below.</w:t>
      </w:r>
    </w:p>
    <w:p w:rsidR="00F06F33" w:rsidRPr="00F06F33" w:rsidRDefault="00F06F33" w:rsidP="0089156D">
      <w:pPr>
        <w:ind w:left="737"/>
        <w:jc w:val="both"/>
        <w:rPr>
          <w:bCs/>
        </w:rPr>
      </w:pPr>
    </w:p>
    <w:p w:rsidR="00F06F33" w:rsidRPr="00F06F33" w:rsidRDefault="00F06F33" w:rsidP="0089156D">
      <w:pPr>
        <w:ind w:left="737"/>
        <w:jc w:val="both"/>
        <w:rPr>
          <w:bCs/>
          <w:i/>
        </w:rPr>
      </w:pPr>
      <w:r w:rsidRPr="00F06F33">
        <w:rPr>
          <w:bCs/>
          <w:i/>
        </w:rPr>
        <w:t>Work units / reduction of guaranteed amounts</w:t>
      </w:r>
    </w:p>
    <w:p w:rsidR="00F06F33" w:rsidRPr="00F06F33" w:rsidRDefault="00F06F33" w:rsidP="0089156D">
      <w:pPr>
        <w:ind w:left="737"/>
        <w:jc w:val="both"/>
        <w:rPr>
          <w:bCs/>
        </w:rPr>
      </w:pPr>
    </w:p>
    <w:p w:rsidR="00F06F33" w:rsidRPr="00F06F33" w:rsidRDefault="00F06F33" w:rsidP="00F06F33">
      <w:pPr>
        <w:numPr>
          <w:ilvl w:val="1"/>
          <w:numId w:val="29"/>
        </w:numPr>
        <w:ind w:hanging="750"/>
        <w:jc w:val="both"/>
        <w:rPr>
          <w:bCs/>
          <w:lang w:val="en-US"/>
        </w:rPr>
      </w:pPr>
      <w:r w:rsidRPr="00F06F33">
        <w:rPr>
          <w:bCs/>
        </w:rPr>
        <w:t xml:space="preserve">The work programme for the </w:t>
      </w:r>
      <w:r w:rsidR="0089156D">
        <w:rPr>
          <w:bCs/>
        </w:rPr>
        <w:t>E</w:t>
      </w:r>
      <w:r w:rsidRPr="00F06F33">
        <w:rPr>
          <w:bCs/>
        </w:rPr>
        <w:t xml:space="preserve">xploration </w:t>
      </w:r>
      <w:r w:rsidR="0089156D">
        <w:rPr>
          <w:bCs/>
        </w:rPr>
        <w:t>P</w:t>
      </w:r>
      <w:r w:rsidRPr="00F06F33">
        <w:rPr>
          <w:bCs/>
        </w:rPr>
        <w:t>eriod (and any extensions</w:t>
      </w:r>
      <w:r w:rsidR="0089156D">
        <w:rPr>
          <w:bCs/>
        </w:rPr>
        <w:t xml:space="preserve"> thereof</w:t>
      </w:r>
      <w:r w:rsidRPr="00F06F33">
        <w:rPr>
          <w:bCs/>
        </w:rPr>
        <w:t>) could be broken down into a number of “work units” (</w:t>
      </w:r>
      <w:r w:rsidR="0089156D">
        <w:rPr>
          <w:bCs/>
        </w:rPr>
        <w:t xml:space="preserve">for example, </w:t>
      </w:r>
      <w:r w:rsidRPr="00F06F33">
        <w:rPr>
          <w:bCs/>
          <w:lang w:val="en-US"/>
        </w:rPr>
        <w:t>3D seismic, other geophysical, geological studies, drilling). When particular work units are completed, the bank guarantee(s) can be reduced by the value of such work units (</w:t>
      </w:r>
      <w:r w:rsidR="0089156D">
        <w:rPr>
          <w:bCs/>
          <w:lang w:val="en-US"/>
        </w:rPr>
        <w:t>please refer to the Trinidad &amp; Tobago PSC for an example of such an approach</w:t>
      </w:r>
      <w:r w:rsidRPr="00F06F33">
        <w:rPr>
          <w:bCs/>
          <w:lang w:val="en-US"/>
        </w:rPr>
        <w:t>)</w:t>
      </w:r>
    </w:p>
    <w:p w:rsidR="00F06F33" w:rsidRPr="00F06F33" w:rsidRDefault="00F06F33" w:rsidP="0089156D">
      <w:pPr>
        <w:ind w:left="737"/>
        <w:jc w:val="both"/>
        <w:rPr>
          <w:bCs/>
          <w:lang w:val="en-US"/>
        </w:rPr>
      </w:pPr>
    </w:p>
    <w:p w:rsidR="00F06F33" w:rsidRPr="00F06F33" w:rsidRDefault="00F06F33" w:rsidP="0089156D">
      <w:pPr>
        <w:ind w:left="737"/>
        <w:jc w:val="both"/>
        <w:rPr>
          <w:bCs/>
          <w:i/>
          <w:lang w:val="en-US"/>
        </w:rPr>
      </w:pPr>
      <w:r w:rsidRPr="00F06F33">
        <w:rPr>
          <w:bCs/>
          <w:i/>
          <w:lang w:val="en-US"/>
        </w:rPr>
        <w:t>Release of bank guarantees</w:t>
      </w:r>
    </w:p>
    <w:p w:rsidR="00F06F33" w:rsidRPr="00F06F33" w:rsidRDefault="00F06F33" w:rsidP="0089156D">
      <w:pPr>
        <w:ind w:left="737"/>
        <w:jc w:val="both"/>
        <w:rPr>
          <w:b/>
          <w:bCs/>
          <w:lang w:val="en-US"/>
        </w:rPr>
      </w:pPr>
    </w:p>
    <w:p w:rsidR="00F06F33" w:rsidRPr="00F06F33" w:rsidRDefault="00F06F33" w:rsidP="00F06F33">
      <w:pPr>
        <w:numPr>
          <w:ilvl w:val="1"/>
          <w:numId w:val="29"/>
        </w:numPr>
        <w:ind w:hanging="750"/>
        <w:jc w:val="both"/>
        <w:rPr>
          <w:bCs/>
          <w:lang w:val="en-US"/>
        </w:rPr>
      </w:pPr>
      <w:r w:rsidRPr="00F06F33">
        <w:rPr>
          <w:bCs/>
          <w:lang w:val="en-US"/>
        </w:rPr>
        <w:t>We c</w:t>
      </w:r>
      <w:r w:rsidR="0089156D">
        <w:rPr>
          <w:bCs/>
          <w:lang w:val="en-US"/>
        </w:rPr>
        <w:t xml:space="preserve">ould </w:t>
      </w:r>
      <w:r w:rsidRPr="00F06F33">
        <w:rPr>
          <w:bCs/>
          <w:lang w:val="en-US"/>
        </w:rPr>
        <w:t xml:space="preserve">also stipulate in the Myanmar PSC that the amount of the bank </w:t>
      </w:r>
      <w:r w:rsidR="0089156D">
        <w:rPr>
          <w:bCs/>
          <w:lang w:val="en-US"/>
        </w:rPr>
        <w:t xml:space="preserve">guarantee </w:t>
      </w:r>
      <w:r w:rsidRPr="00F06F33">
        <w:rPr>
          <w:bCs/>
          <w:lang w:val="en-US"/>
        </w:rPr>
        <w:t xml:space="preserve">shall be released at the end of each exploration phase (provided the minimum exploration work obligation stipulated in the </w:t>
      </w:r>
      <w:r w:rsidR="0089156D">
        <w:rPr>
          <w:bCs/>
          <w:lang w:val="en-US"/>
        </w:rPr>
        <w:t xml:space="preserve">Myanmar </w:t>
      </w:r>
      <w:r w:rsidRPr="00F06F33">
        <w:rPr>
          <w:bCs/>
          <w:lang w:val="en-US"/>
        </w:rPr>
        <w:t xml:space="preserve">PSC for the relevant phase has been completed), regardless of the cost incurred by </w:t>
      </w:r>
      <w:r w:rsidR="0089156D">
        <w:rPr>
          <w:bCs/>
          <w:lang w:val="en-US"/>
        </w:rPr>
        <w:t xml:space="preserve">the </w:t>
      </w:r>
      <w:r w:rsidRPr="00F06F33">
        <w:rPr>
          <w:bCs/>
          <w:lang w:val="en-US"/>
        </w:rPr>
        <w:t>Contractor to complete the obligatory work commitment (</w:t>
      </w:r>
      <w:r w:rsidR="0089156D">
        <w:rPr>
          <w:bCs/>
          <w:lang w:val="en-US"/>
        </w:rPr>
        <w:t xml:space="preserve">see the Madagascar </w:t>
      </w:r>
      <w:r w:rsidRPr="00F06F33">
        <w:rPr>
          <w:bCs/>
          <w:lang w:val="en-US"/>
        </w:rPr>
        <w:t>PSC</w:t>
      </w:r>
      <w:r w:rsidR="0089156D">
        <w:rPr>
          <w:bCs/>
          <w:lang w:val="en-US"/>
        </w:rPr>
        <w:t xml:space="preserve"> for an example of such an approach</w:t>
      </w:r>
      <w:r w:rsidRPr="00F06F33">
        <w:rPr>
          <w:bCs/>
          <w:lang w:val="en-US"/>
        </w:rPr>
        <w:t>).</w:t>
      </w:r>
    </w:p>
    <w:p w:rsidR="00F06F33" w:rsidRPr="00F06F33" w:rsidRDefault="00F06F33" w:rsidP="0089156D">
      <w:pPr>
        <w:ind w:left="737"/>
        <w:jc w:val="both"/>
        <w:rPr>
          <w:b/>
          <w:bCs/>
          <w:lang w:val="en-US"/>
        </w:rPr>
      </w:pPr>
    </w:p>
    <w:p w:rsidR="00F06F33" w:rsidRPr="00F06F33" w:rsidRDefault="00F06F33" w:rsidP="00FF3E36">
      <w:pPr>
        <w:ind w:left="737"/>
        <w:jc w:val="both"/>
        <w:rPr>
          <w:bCs/>
          <w:i/>
          <w:lang w:val="en-US"/>
        </w:rPr>
      </w:pPr>
      <w:r w:rsidRPr="00F06F33">
        <w:rPr>
          <w:bCs/>
          <w:i/>
          <w:lang w:val="en-US"/>
        </w:rPr>
        <w:t>Cost recovery</w:t>
      </w:r>
    </w:p>
    <w:p w:rsidR="00F06F33" w:rsidRPr="00F06F33" w:rsidRDefault="00F06F33" w:rsidP="00FF3E36">
      <w:pPr>
        <w:ind w:left="737"/>
        <w:jc w:val="both"/>
        <w:rPr>
          <w:bCs/>
        </w:rPr>
      </w:pPr>
    </w:p>
    <w:p w:rsidR="00F06F33" w:rsidRPr="00F06F33" w:rsidRDefault="00F06F33" w:rsidP="00F06F33">
      <w:pPr>
        <w:numPr>
          <w:ilvl w:val="1"/>
          <w:numId w:val="29"/>
        </w:numPr>
        <w:ind w:hanging="750"/>
        <w:jc w:val="both"/>
        <w:rPr>
          <w:bCs/>
          <w:lang w:val="en-US"/>
        </w:rPr>
      </w:pPr>
      <w:r w:rsidRPr="00F06F33">
        <w:rPr>
          <w:bCs/>
        </w:rPr>
        <w:t xml:space="preserve">We should clarify whether </w:t>
      </w:r>
      <w:r w:rsidRPr="00F06F33">
        <w:rPr>
          <w:bCs/>
          <w:lang w:val="en-US"/>
        </w:rPr>
        <w:t>the costs of any bank guarantee required under the PSC is recoverable (it is not specifically listed in Annex</w:t>
      </w:r>
      <w:r w:rsidR="0065050B">
        <w:rPr>
          <w:bCs/>
          <w:lang w:val="en-US"/>
        </w:rPr>
        <w:t>ure</w:t>
      </w:r>
      <w:r w:rsidRPr="00F06F33">
        <w:rPr>
          <w:bCs/>
          <w:lang w:val="en-US"/>
        </w:rPr>
        <w:t xml:space="preserve"> C, although it could be covered by “Charges and Fees” in para</w:t>
      </w:r>
      <w:r w:rsidR="00FF3E36">
        <w:rPr>
          <w:bCs/>
          <w:lang w:val="en-US"/>
        </w:rPr>
        <w:t>graph</w:t>
      </w:r>
      <w:r w:rsidRPr="00F06F33">
        <w:rPr>
          <w:bCs/>
          <w:lang w:val="en-US"/>
        </w:rPr>
        <w:t xml:space="preserve"> 2.9</w:t>
      </w:r>
      <w:r w:rsidR="00FF3E36">
        <w:rPr>
          <w:bCs/>
          <w:lang w:val="en-US"/>
        </w:rPr>
        <w:t xml:space="preserve"> of Annex</w:t>
      </w:r>
      <w:r w:rsidR="0065050B">
        <w:rPr>
          <w:bCs/>
          <w:lang w:val="en-US"/>
        </w:rPr>
        <w:t>ure</w:t>
      </w:r>
      <w:r w:rsidR="00FF3E36">
        <w:rPr>
          <w:bCs/>
          <w:lang w:val="en-US"/>
        </w:rPr>
        <w:t xml:space="preserve"> C</w:t>
      </w:r>
      <w:r w:rsidRPr="00F06F33">
        <w:rPr>
          <w:bCs/>
          <w:lang w:val="en-US"/>
        </w:rPr>
        <w:t xml:space="preserve">). </w:t>
      </w:r>
    </w:p>
    <w:p w:rsidR="00F06F33" w:rsidRPr="00F06F33" w:rsidRDefault="00F06F33" w:rsidP="00FF3E36">
      <w:pPr>
        <w:ind w:left="737"/>
        <w:jc w:val="both"/>
        <w:rPr>
          <w:bCs/>
          <w:lang w:val="en-US"/>
        </w:rPr>
      </w:pPr>
    </w:p>
    <w:p w:rsidR="00F06F33" w:rsidRPr="00F06F33" w:rsidRDefault="00F06F33" w:rsidP="00FF3E36">
      <w:pPr>
        <w:ind w:left="737"/>
        <w:jc w:val="both"/>
        <w:rPr>
          <w:bCs/>
          <w:i/>
          <w:lang w:val="en-US"/>
        </w:rPr>
      </w:pPr>
      <w:r w:rsidRPr="00F06F33">
        <w:rPr>
          <w:bCs/>
          <w:i/>
          <w:lang w:val="en-US"/>
        </w:rPr>
        <w:t>EIA, SIA and EMP expenditure</w:t>
      </w:r>
    </w:p>
    <w:p w:rsidR="00F06F33" w:rsidRPr="00F06F33" w:rsidRDefault="00F06F33" w:rsidP="00FF3E36">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rPr>
        <w:t xml:space="preserve">Finally, </w:t>
      </w:r>
      <w:r w:rsidR="00282AE2">
        <w:t>Contractor</w:t>
      </w:r>
      <w:r w:rsidR="00282AE2" w:rsidRPr="00F06F33">
        <w:rPr>
          <w:bCs/>
        </w:rPr>
        <w:t xml:space="preserve"> </w:t>
      </w:r>
      <w:r w:rsidRPr="00F06F33">
        <w:rPr>
          <w:bCs/>
        </w:rPr>
        <w:t>may want to clarify whether the costs of preparing the Environmental Impact Assessment</w:t>
      </w:r>
      <w:r w:rsidR="00FF3E36">
        <w:rPr>
          <w:bCs/>
        </w:rPr>
        <w:t xml:space="preserve"> (“</w:t>
      </w:r>
      <w:r w:rsidR="00FF3E36" w:rsidRPr="00FF3E36">
        <w:rPr>
          <w:b/>
          <w:bCs/>
        </w:rPr>
        <w:t>EIA</w:t>
      </w:r>
      <w:r w:rsidR="00FF3E36">
        <w:rPr>
          <w:bCs/>
        </w:rPr>
        <w:t>”)</w:t>
      </w:r>
      <w:r w:rsidRPr="00F06F33">
        <w:rPr>
          <w:bCs/>
        </w:rPr>
        <w:t>, Social Impact Assessment</w:t>
      </w:r>
      <w:r w:rsidR="00FF3E36">
        <w:rPr>
          <w:bCs/>
        </w:rPr>
        <w:t xml:space="preserve"> (“</w:t>
      </w:r>
      <w:r w:rsidR="00FF3E36" w:rsidRPr="00FF3E36">
        <w:rPr>
          <w:b/>
          <w:bCs/>
        </w:rPr>
        <w:t>SIA</w:t>
      </w:r>
      <w:r w:rsidR="00FF3E36">
        <w:rPr>
          <w:bCs/>
        </w:rPr>
        <w:t xml:space="preserve">”) </w:t>
      </w:r>
      <w:r w:rsidRPr="00F06F33">
        <w:rPr>
          <w:bCs/>
        </w:rPr>
        <w:t xml:space="preserve">and Environmental Management Plan </w:t>
      </w:r>
      <w:r w:rsidR="00FF3E36">
        <w:rPr>
          <w:bCs/>
        </w:rPr>
        <w:t>(“</w:t>
      </w:r>
      <w:r w:rsidR="00FF3E36" w:rsidRPr="00FF3E36">
        <w:rPr>
          <w:b/>
          <w:bCs/>
        </w:rPr>
        <w:t>EMP</w:t>
      </w:r>
      <w:r w:rsidR="00FF3E36">
        <w:rPr>
          <w:bCs/>
        </w:rPr>
        <w:t xml:space="preserve">”) – all of which are prepared during the “Preparation Period” – </w:t>
      </w:r>
      <w:r w:rsidRPr="00F06F33">
        <w:rPr>
          <w:bCs/>
        </w:rPr>
        <w:t>will count towards the exploration minimum expenditure r</w:t>
      </w:r>
      <w:r w:rsidR="00FF3E36">
        <w:rPr>
          <w:bCs/>
        </w:rPr>
        <w:t>equirement</w:t>
      </w:r>
      <w:r w:rsidRPr="00F06F33">
        <w:rPr>
          <w:bCs/>
        </w:rPr>
        <w:t xml:space="preserve">. </w:t>
      </w:r>
    </w:p>
    <w:p w:rsidR="007A632C" w:rsidRDefault="007A632C" w:rsidP="007A632C">
      <w:pPr>
        <w:ind w:left="737"/>
        <w:jc w:val="both"/>
        <w:rPr>
          <w:b/>
          <w:bCs/>
        </w:rPr>
      </w:pPr>
    </w:p>
    <w:p w:rsidR="008C234D" w:rsidRPr="008C234D" w:rsidRDefault="008C234D" w:rsidP="008C234D">
      <w:pPr>
        <w:numPr>
          <w:ilvl w:val="0"/>
          <w:numId w:val="29"/>
        </w:numPr>
        <w:jc w:val="both"/>
        <w:rPr>
          <w:b/>
          <w:bCs/>
        </w:rPr>
      </w:pPr>
      <w:r w:rsidRPr="008C234D">
        <w:rPr>
          <w:b/>
          <w:bCs/>
        </w:rPr>
        <w:t>Work programmes and expenditures</w:t>
      </w:r>
      <w:r>
        <w:rPr>
          <w:b/>
          <w:bCs/>
        </w:rPr>
        <w:t xml:space="preserve"> </w:t>
      </w:r>
      <w:r w:rsidR="007A632C">
        <w:rPr>
          <w:b/>
          <w:bCs/>
        </w:rPr>
        <w:t>(section 6)</w:t>
      </w:r>
    </w:p>
    <w:p w:rsidR="008C234D" w:rsidRDefault="008C234D" w:rsidP="008C234D">
      <w:pPr>
        <w:ind w:left="737"/>
        <w:jc w:val="both"/>
        <w:rPr>
          <w:b/>
          <w:bCs/>
          <w:lang w:val="en-US"/>
        </w:rPr>
      </w:pPr>
    </w:p>
    <w:p w:rsidR="008C234D" w:rsidRPr="008C234D" w:rsidRDefault="008C234D" w:rsidP="008C234D">
      <w:pPr>
        <w:ind w:left="737"/>
        <w:jc w:val="both"/>
        <w:rPr>
          <w:bCs/>
          <w:i/>
          <w:lang w:val="en-US"/>
        </w:rPr>
      </w:pPr>
      <w:r w:rsidRPr="008C234D">
        <w:rPr>
          <w:bCs/>
          <w:i/>
          <w:lang w:val="en-US"/>
        </w:rPr>
        <w:t xml:space="preserve">Carrying forward of work </w:t>
      </w:r>
      <w:r w:rsidRPr="008C234D">
        <w:rPr>
          <w:bCs/>
          <w:i/>
        </w:rPr>
        <w:t>programmes</w:t>
      </w:r>
      <w:r w:rsidRPr="008C234D">
        <w:rPr>
          <w:bCs/>
          <w:i/>
          <w:lang w:val="en-US"/>
        </w:rPr>
        <w:t>/expenditure</w:t>
      </w:r>
    </w:p>
    <w:p w:rsidR="008C234D" w:rsidRPr="008C234D" w:rsidRDefault="008C234D" w:rsidP="008C234D">
      <w:pPr>
        <w:ind w:left="737"/>
        <w:jc w:val="both"/>
        <w:rPr>
          <w:bCs/>
          <w:lang w:val="en-US"/>
        </w:rPr>
      </w:pPr>
    </w:p>
    <w:p w:rsidR="008C234D" w:rsidRPr="008C234D" w:rsidRDefault="008C234D" w:rsidP="008C234D">
      <w:pPr>
        <w:numPr>
          <w:ilvl w:val="1"/>
          <w:numId w:val="29"/>
        </w:numPr>
        <w:jc w:val="both"/>
        <w:rPr>
          <w:bCs/>
          <w:lang w:val="en-US"/>
        </w:rPr>
      </w:pPr>
      <w:r w:rsidRPr="008C234D">
        <w:rPr>
          <w:bCs/>
          <w:lang w:val="en-US"/>
        </w:rPr>
        <w:t xml:space="preserve">The Myanmar PSC is silent as to whether expenditure or other works performed in excess of that proposed for any particular Contract Year can be carried forward or credited to the next Contract Year. </w:t>
      </w:r>
      <w:r>
        <w:rPr>
          <w:bCs/>
          <w:lang w:val="en-US"/>
        </w:rPr>
        <w:t xml:space="preserve">Under the Tanzania PSC, for example, if </w:t>
      </w:r>
      <w:r w:rsidRPr="008C234D">
        <w:rPr>
          <w:bCs/>
          <w:lang w:val="en-US"/>
        </w:rPr>
        <w:t xml:space="preserve">in any </w:t>
      </w:r>
      <w:r>
        <w:rPr>
          <w:bCs/>
          <w:lang w:val="en-US"/>
        </w:rPr>
        <w:t>e</w:t>
      </w:r>
      <w:r w:rsidRPr="008C234D">
        <w:rPr>
          <w:bCs/>
          <w:lang w:val="en-US"/>
        </w:rPr>
        <w:t xml:space="preserve">xploration </w:t>
      </w:r>
      <w:r>
        <w:rPr>
          <w:bCs/>
          <w:lang w:val="en-US"/>
        </w:rPr>
        <w:t>period the c</w:t>
      </w:r>
      <w:r w:rsidRPr="008C234D">
        <w:rPr>
          <w:bCs/>
          <w:lang w:val="en-US"/>
        </w:rPr>
        <w:t xml:space="preserve">ontractor has carried out more than the minimum technical work obligations specified </w:t>
      </w:r>
      <w:r>
        <w:rPr>
          <w:bCs/>
          <w:lang w:val="en-US"/>
        </w:rPr>
        <w:t xml:space="preserve">under the PSC </w:t>
      </w:r>
      <w:r w:rsidRPr="008C234D">
        <w:rPr>
          <w:bCs/>
          <w:lang w:val="en-US"/>
        </w:rPr>
        <w:t>for that period</w:t>
      </w:r>
      <w:r>
        <w:rPr>
          <w:bCs/>
          <w:lang w:val="en-US"/>
        </w:rPr>
        <w:t xml:space="preserve">, it is </w:t>
      </w:r>
      <w:r w:rsidRPr="008C234D">
        <w:rPr>
          <w:bCs/>
          <w:lang w:val="en-US"/>
        </w:rPr>
        <w:t xml:space="preserve">permitted to credit such excess work obligation as satisfying work obligations </w:t>
      </w:r>
      <w:r>
        <w:rPr>
          <w:bCs/>
          <w:lang w:val="en-US"/>
        </w:rPr>
        <w:t xml:space="preserve">for the next exploration period. </w:t>
      </w:r>
      <w:r w:rsidRPr="008C234D">
        <w:rPr>
          <w:bCs/>
          <w:lang w:val="en-US"/>
        </w:rPr>
        <w:t xml:space="preserve">A similar provision relating to minimum expenditure only exists in </w:t>
      </w:r>
      <w:r w:rsidR="007A632C">
        <w:rPr>
          <w:bCs/>
          <w:lang w:val="en-US"/>
        </w:rPr>
        <w:t xml:space="preserve">the </w:t>
      </w:r>
      <w:r w:rsidRPr="008C234D">
        <w:rPr>
          <w:bCs/>
          <w:lang w:val="en-US"/>
        </w:rPr>
        <w:t>Myanmar PSC (</w:t>
      </w:r>
      <w:r w:rsidR="007A632C">
        <w:rPr>
          <w:bCs/>
          <w:lang w:val="en-US"/>
        </w:rPr>
        <w:t xml:space="preserve">section </w:t>
      </w:r>
      <w:r w:rsidRPr="008C234D">
        <w:rPr>
          <w:bCs/>
          <w:lang w:val="en-US"/>
        </w:rPr>
        <w:t>5.9).</w:t>
      </w:r>
      <w:r w:rsidR="007A632C">
        <w:rPr>
          <w:bCs/>
          <w:lang w:val="en-US"/>
        </w:rPr>
        <w:t xml:space="preserve"> </w:t>
      </w:r>
      <w:r w:rsidR="00282AE2">
        <w:t>Contractor</w:t>
      </w:r>
      <w:r w:rsidR="00282AE2">
        <w:rPr>
          <w:bCs/>
          <w:lang w:val="en-US"/>
        </w:rPr>
        <w:t xml:space="preserve"> </w:t>
      </w:r>
      <w:r w:rsidR="007A632C">
        <w:rPr>
          <w:bCs/>
          <w:lang w:val="en-US"/>
        </w:rPr>
        <w:t xml:space="preserve">may therefore wish to amend the Myanmar PSC to expressly provide that excess works can be carried forward </w:t>
      </w:r>
    </w:p>
    <w:p w:rsidR="008C234D" w:rsidRPr="008C234D" w:rsidRDefault="008C234D" w:rsidP="007A632C">
      <w:pPr>
        <w:jc w:val="both"/>
        <w:rPr>
          <w:bCs/>
          <w:lang w:val="en-US"/>
        </w:rPr>
      </w:pPr>
    </w:p>
    <w:p w:rsidR="008C234D" w:rsidRPr="007A632C" w:rsidRDefault="007A632C" w:rsidP="007A632C">
      <w:pPr>
        <w:ind w:left="737"/>
        <w:jc w:val="both"/>
        <w:rPr>
          <w:bCs/>
          <w:i/>
          <w:lang w:val="en-US"/>
        </w:rPr>
      </w:pPr>
      <w:r>
        <w:rPr>
          <w:bCs/>
          <w:i/>
          <w:lang w:val="en-US"/>
        </w:rPr>
        <w:t>Mandatory e</w:t>
      </w:r>
      <w:r w:rsidR="008C234D" w:rsidRPr="007A632C">
        <w:rPr>
          <w:bCs/>
          <w:i/>
          <w:lang w:val="en-US"/>
        </w:rPr>
        <w:t>xpenditure</w:t>
      </w:r>
      <w:r>
        <w:rPr>
          <w:bCs/>
          <w:i/>
          <w:lang w:val="en-US"/>
        </w:rPr>
        <w:t xml:space="preserve"> </w:t>
      </w:r>
      <w:r w:rsidR="008C234D" w:rsidRPr="007A632C">
        <w:rPr>
          <w:bCs/>
          <w:i/>
          <w:lang w:val="en-US"/>
        </w:rPr>
        <w:t>/</w:t>
      </w:r>
      <w:r>
        <w:rPr>
          <w:bCs/>
          <w:i/>
          <w:lang w:val="en-US"/>
        </w:rPr>
        <w:t xml:space="preserve"> e</w:t>
      </w:r>
      <w:r w:rsidR="008C234D" w:rsidRPr="007A632C">
        <w:rPr>
          <w:bCs/>
          <w:i/>
          <w:lang w:val="en-US"/>
        </w:rPr>
        <w:t xml:space="preserve">xpenditure </w:t>
      </w:r>
      <w:r>
        <w:rPr>
          <w:bCs/>
          <w:i/>
          <w:lang w:val="en-US"/>
        </w:rPr>
        <w:t>e</w:t>
      </w:r>
      <w:r w:rsidR="008C234D" w:rsidRPr="007A632C">
        <w:rPr>
          <w:bCs/>
          <w:i/>
          <w:lang w:val="en-US"/>
        </w:rPr>
        <w:t xml:space="preserve">stimates </w:t>
      </w:r>
    </w:p>
    <w:p w:rsidR="008C234D" w:rsidRPr="008C234D" w:rsidRDefault="008C234D" w:rsidP="007A632C">
      <w:pPr>
        <w:ind w:left="737"/>
        <w:jc w:val="both"/>
        <w:rPr>
          <w:bCs/>
          <w:lang w:val="en-US"/>
        </w:rPr>
      </w:pPr>
    </w:p>
    <w:p w:rsidR="00F06F33" w:rsidRPr="008C234D" w:rsidRDefault="007A632C" w:rsidP="007A632C">
      <w:pPr>
        <w:numPr>
          <w:ilvl w:val="1"/>
          <w:numId w:val="29"/>
        </w:numPr>
        <w:jc w:val="both"/>
        <w:rPr>
          <w:bCs/>
          <w:lang w:val="en-US"/>
        </w:rPr>
      </w:pPr>
      <w:r>
        <w:rPr>
          <w:bCs/>
        </w:rPr>
        <w:t>Tentative work programme</w:t>
      </w:r>
      <w:r w:rsidR="008C234D" w:rsidRPr="008C234D">
        <w:rPr>
          <w:bCs/>
        </w:rPr>
        <w:t xml:space="preserve">s </w:t>
      </w:r>
      <w:r>
        <w:rPr>
          <w:bCs/>
        </w:rPr>
        <w:t>and / budget</w:t>
      </w:r>
      <w:r w:rsidR="008C234D" w:rsidRPr="008C234D">
        <w:rPr>
          <w:bCs/>
        </w:rPr>
        <w:t xml:space="preserve">s required to be submitted </w:t>
      </w:r>
      <w:r>
        <w:rPr>
          <w:bCs/>
        </w:rPr>
        <w:t xml:space="preserve">under section 6.7 of the Myanmar PSC must </w:t>
      </w:r>
      <w:r w:rsidR="008C234D" w:rsidRPr="008C234D">
        <w:rPr>
          <w:bCs/>
        </w:rPr>
        <w:t xml:space="preserve">include expenditure estimates for the “First Extension Period” and “Second Extension Period”. </w:t>
      </w:r>
      <w:r>
        <w:rPr>
          <w:bCs/>
        </w:rPr>
        <w:t xml:space="preserve">For the avoidance of doubt, </w:t>
      </w:r>
      <w:r w:rsidR="008C234D" w:rsidRPr="008C234D">
        <w:rPr>
          <w:bCs/>
        </w:rPr>
        <w:t xml:space="preserve">wording </w:t>
      </w:r>
      <w:r>
        <w:rPr>
          <w:bCs/>
        </w:rPr>
        <w:t xml:space="preserve">could be </w:t>
      </w:r>
      <w:r w:rsidR="008C234D" w:rsidRPr="008C234D">
        <w:rPr>
          <w:bCs/>
        </w:rPr>
        <w:t xml:space="preserve">added to clarify that the work programme and expenditure estimates </w:t>
      </w:r>
      <w:r>
        <w:rPr>
          <w:bCs/>
        </w:rPr>
        <w:t xml:space="preserve">in respect of any </w:t>
      </w:r>
      <w:r w:rsidR="008C234D" w:rsidRPr="008C234D">
        <w:rPr>
          <w:bCs/>
        </w:rPr>
        <w:t>extension periods will only apply if</w:t>
      </w:r>
      <w:r>
        <w:rPr>
          <w:bCs/>
        </w:rPr>
        <w:t xml:space="preserve"> the</w:t>
      </w:r>
      <w:r w:rsidR="008C234D" w:rsidRPr="008C234D">
        <w:rPr>
          <w:bCs/>
        </w:rPr>
        <w:t xml:space="preserve"> Contractor elects to extend the </w:t>
      </w:r>
      <w:r>
        <w:rPr>
          <w:bCs/>
        </w:rPr>
        <w:t>E</w:t>
      </w:r>
      <w:r w:rsidR="008C234D" w:rsidRPr="008C234D">
        <w:rPr>
          <w:bCs/>
        </w:rPr>
        <w:t xml:space="preserve">xploration </w:t>
      </w:r>
      <w:r>
        <w:rPr>
          <w:bCs/>
        </w:rPr>
        <w:t>P</w:t>
      </w:r>
      <w:r w:rsidR="008C234D" w:rsidRPr="008C234D">
        <w:rPr>
          <w:bCs/>
        </w:rPr>
        <w:t>eriod.</w:t>
      </w:r>
    </w:p>
    <w:p w:rsidR="008C234D" w:rsidRDefault="008C234D" w:rsidP="007A632C">
      <w:pPr>
        <w:ind w:left="737"/>
        <w:jc w:val="both"/>
        <w:rPr>
          <w:b/>
          <w:bCs/>
          <w:lang w:val="en-US"/>
        </w:rPr>
      </w:pPr>
    </w:p>
    <w:p w:rsidR="00F06F33" w:rsidRPr="00F06F33" w:rsidRDefault="00F06F33" w:rsidP="008C234D">
      <w:pPr>
        <w:numPr>
          <w:ilvl w:val="0"/>
          <w:numId w:val="29"/>
        </w:numPr>
        <w:jc w:val="both"/>
        <w:rPr>
          <w:b/>
          <w:bCs/>
          <w:lang w:val="en-US"/>
        </w:rPr>
      </w:pPr>
      <w:r w:rsidRPr="00F06F33">
        <w:rPr>
          <w:b/>
          <w:bCs/>
          <w:lang w:val="en-US"/>
        </w:rPr>
        <w:t xml:space="preserve">Discovery and appraisal </w:t>
      </w:r>
      <w:r w:rsidR="007A632C">
        <w:rPr>
          <w:b/>
          <w:bCs/>
          <w:lang w:val="en-US"/>
        </w:rPr>
        <w:t>(section 7)</w:t>
      </w:r>
    </w:p>
    <w:p w:rsidR="00F06F33" w:rsidRPr="00F06F33" w:rsidRDefault="00F06F33" w:rsidP="007A632C">
      <w:pPr>
        <w:ind w:left="737"/>
        <w:jc w:val="both"/>
        <w:rPr>
          <w:bCs/>
        </w:rPr>
      </w:pPr>
    </w:p>
    <w:p w:rsidR="00F06F33" w:rsidRPr="00F06F33" w:rsidRDefault="00F06F33" w:rsidP="00F06F33">
      <w:pPr>
        <w:numPr>
          <w:ilvl w:val="1"/>
          <w:numId w:val="29"/>
        </w:numPr>
        <w:ind w:hanging="750"/>
        <w:jc w:val="both"/>
        <w:rPr>
          <w:bCs/>
        </w:rPr>
      </w:pPr>
      <w:r w:rsidRPr="00F06F33">
        <w:rPr>
          <w:bCs/>
        </w:rPr>
        <w:t xml:space="preserve">Section 7 deals with the procedure for the appraisal of a discovery by the Contractor (including submission of Appraisal Work Programme and Budget to MOGE), and is broadly acceptable. However </w:t>
      </w:r>
      <w:r w:rsidR="00282AE2">
        <w:t>Contractor</w:t>
      </w:r>
      <w:r w:rsidR="00282AE2" w:rsidRPr="00F06F33">
        <w:rPr>
          <w:bCs/>
        </w:rPr>
        <w:t xml:space="preserve"> </w:t>
      </w:r>
      <w:r w:rsidRPr="00F06F33">
        <w:rPr>
          <w:bCs/>
        </w:rPr>
        <w:t xml:space="preserve">may </w:t>
      </w:r>
      <w:r w:rsidR="0095158D">
        <w:rPr>
          <w:bCs/>
        </w:rPr>
        <w:t>certain amendments as set out below</w:t>
      </w:r>
      <w:r w:rsidRPr="00F06F33">
        <w:rPr>
          <w:bCs/>
        </w:rPr>
        <w:t>:</w:t>
      </w:r>
    </w:p>
    <w:p w:rsidR="00F06F33" w:rsidRPr="00F06F33" w:rsidRDefault="00F06F33" w:rsidP="0095158D">
      <w:pPr>
        <w:ind w:left="737"/>
        <w:jc w:val="both"/>
        <w:rPr>
          <w:bCs/>
        </w:rPr>
      </w:pPr>
    </w:p>
    <w:p w:rsidR="00F06F33" w:rsidRPr="00F06F33" w:rsidRDefault="00F06F33" w:rsidP="0095158D">
      <w:pPr>
        <w:ind w:left="737"/>
        <w:jc w:val="both"/>
        <w:rPr>
          <w:bCs/>
          <w:i/>
        </w:rPr>
      </w:pPr>
      <w:r w:rsidRPr="00F06F33">
        <w:rPr>
          <w:bCs/>
          <w:i/>
        </w:rPr>
        <w:t>Submission of Appraisal Work Programme and Budget to Management Committee</w:t>
      </w:r>
    </w:p>
    <w:p w:rsidR="00F06F33" w:rsidRPr="00F06F33" w:rsidRDefault="00F06F33" w:rsidP="0095158D">
      <w:pPr>
        <w:ind w:left="737"/>
        <w:jc w:val="both"/>
        <w:rPr>
          <w:bCs/>
        </w:rPr>
      </w:pPr>
    </w:p>
    <w:p w:rsidR="00F06F33" w:rsidRPr="00F06F33" w:rsidRDefault="00F06F33" w:rsidP="00F06F33">
      <w:pPr>
        <w:numPr>
          <w:ilvl w:val="1"/>
          <w:numId w:val="29"/>
        </w:numPr>
        <w:ind w:hanging="750"/>
        <w:jc w:val="both"/>
        <w:rPr>
          <w:bCs/>
        </w:rPr>
      </w:pPr>
      <w:r w:rsidRPr="00F06F33">
        <w:rPr>
          <w:bCs/>
        </w:rPr>
        <w:t>The proposed Appraisal Work Programme and Budget could be submitted for review / approval to the Management Committee established under section 18  (and to which MOGE appoints the majority of members</w:t>
      </w:r>
      <w:r w:rsidR="00E12E6D">
        <w:rPr>
          <w:rStyle w:val="FootnoteReference"/>
          <w:bCs/>
        </w:rPr>
        <w:footnoteReference w:id="1"/>
      </w:r>
      <w:r w:rsidRPr="00F06F33">
        <w:rPr>
          <w:bCs/>
        </w:rPr>
        <w:t>) rather than MOGE</w:t>
      </w:r>
      <w:r w:rsidR="008920E4">
        <w:rPr>
          <w:bCs/>
        </w:rPr>
        <w:t>, as this may result in a more expedited approval process</w:t>
      </w:r>
      <w:r w:rsidRPr="00F06F33">
        <w:rPr>
          <w:bCs/>
        </w:rPr>
        <w:t xml:space="preserve">. </w:t>
      </w:r>
    </w:p>
    <w:p w:rsidR="00F06F33" w:rsidRPr="00F06F33" w:rsidRDefault="00F06F33" w:rsidP="0095158D">
      <w:pPr>
        <w:ind w:left="737"/>
        <w:jc w:val="both"/>
        <w:rPr>
          <w:bCs/>
        </w:rPr>
      </w:pPr>
    </w:p>
    <w:p w:rsidR="00F06F33" w:rsidRPr="00F06F33" w:rsidRDefault="00F06F33" w:rsidP="0095158D">
      <w:pPr>
        <w:ind w:left="737"/>
        <w:jc w:val="both"/>
        <w:rPr>
          <w:bCs/>
          <w:i/>
        </w:rPr>
      </w:pPr>
      <w:r w:rsidRPr="00F06F33">
        <w:rPr>
          <w:bCs/>
          <w:i/>
        </w:rPr>
        <w:t>Permission to drill additional exploration wells / appraisal wells</w:t>
      </w:r>
    </w:p>
    <w:p w:rsidR="00F06F33" w:rsidRPr="00F06F33" w:rsidRDefault="00F06F33" w:rsidP="0095158D">
      <w:pPr>
        <w:ind w:left="737"/>
        <w:jc w:val="both"/>
        <w:rPr>
          <w:bCs/>
          <w:i/>
        </w:rPr>
      </w:pPr>
    </w:p>
    <w:p w:rsidR="00F06F33" w:rsidRPr="00F06F33" w:rsidRDefault="00282AE2" w:rsidP="00F06F33">
      <w:pPr>
        <w:numPr>
          <w:ilvl w:val="1"/>
          <w:numId w:val="29"/>
        </w:numPr>
        <w:ind w:hanging="750"/>
        <w:jc w:val="both"/>
        <w:rPr>
          <w:bCs/>
          <w:lang w:val="en-US"/>
        </w:rPr>
      </w:pPr>
      <w:r>
        <w:t>Contractor</w:t>
      </w:r>
      <w:r w:rsidRPr="00F06F33">
        <w:rPr>
          <w:bCs/>
          <w:lang w:val="en-US"/>
        </w:rPr>
        <w:t xml:space="preserve"> </w:t>
      </w:r>
      <w:r w:rsidR="00F06F33" w:rsidRPr="00F06F33">
        <w:rPr>
          <w:bCs/>
          <w:lang w:val="en-US"/>
        </w:rPr>
        <w:t>may wish to add an express permission for the Contractor following a Discovery to drill any additional exploration well or appraisal well deemed necessary by the Contractor</w:t>
      </w:r>
      <w:r w:rsidR="008920E4">
        <w:rPr>
          <w:bCs/>
          <w:lang w:val="en-US"/>
        </w:rPr>
        <w:t>,</w:t>
      </w:r>
      <w:r w:rsidR="00F06F33" w:rsidRPr="00F06F33">
        <w:rPr>
          <w:bCs/>
          <w:lang w:val="en-US"/>
        </w:rPr>
        <w:t xml:space="preserve"> </w:t>
      </w:r>
      <w:r w:rsidR="008920E4">
        <w:rPr>
          <w:bCs/>
          <w:lang w:val="en-US"/>
        </w:rPr>
        <w:t xml:space="preserve">both </w:t>
      </w:r>
      <w:r w:rsidR="00F06F33" w:rsidRPr="00F06F33">
        <w:rPr>
          <w:bCs/>
          <w:lang w:val="en-US"/>
        </w:rPr>
        <w:t>before or during MOGE</w:t>
      </w:r>
      <w:r w:rsidR="008920E4">
        <w:rPr>
          <w:bCs/>
          <w:lang w:val="en-US"/>
        </w:rPr>
        <w:t>’s (or t</w:t>
      </w:r>
      <w:r w:rsidR="00F06F33" w:rsidRPr="00F06F33">
        <w:rPr>
          <w:bCs/>
          <w:lang w:val="en-US"/>
        </w:rPr>
        <w:t>he Management Committee’s</w:t>
      </w:r>
      <w:r w:rsidR="008920E4">
        <w:rPr>
          <w:bCs/>
          <w:lang w:val="en-US"/>
        </w:rPr>
        <w:t>)</w:t>
      </w:r>
      <w:r w:rsidR="00F06F33" w:rsidRPr="00F06F33">
        <w:rPr>
          <w:bCs/>
          <w:lang w:val="en-US"/>
        </w:rPr>
        <w:t xml:space="preserve"> review of </w:t>
      </w:r>
      <w:r w:rsidR="008920E4">
        <w:rPr>
          <w:bCs/>
          <w:lang w:val="en-US"/>
        </w:rPr>
        <w:t xml:space="preserve">the </w:t>
      </w:r>
      <w:r w:rsidR="00F06F33" w:rsidRPr="00F06F33">
        <w:rPr>
          <w:bCs/>
          <w:lang w:val="en-US"/>
        </w:rPr>
        <w:t>Appraisal Work Programme</w:t>
      </w:r>
      <w:r w:rsidR="008920E4">
        <w:rPr>
          <w:bCs/>
          <w:lang w:val="en-US"/>
        </w:rPr>
        <w:t>. A similar right is contained in the Kurdistan PSC</w:t>
      </w:r>
      <w:r w:rsidR="00F06F33" w:rsidRPr="00F06F33">
        <w:rPr>
          <w:bCs/>
          <w:lang w:val="en-US"/>
        </w:rPr>
        <w:t>.</w:t>
      </w:r>
    </w:p>
    <w:p w:rsidR="008920E4" w:rsidRDefault="008920E4" w:rsidP="008920E4">
      <w:pPr>
        <w:ind w:left="737"/>
        <w:jc w:val="both"/>
        <w:rPr>
          <w:b/>
          <w:bCs/>
        </w:rPr>
      </w:pPr>
    </w:p>
    <w:p w:rsidR="0063468B" w:rsidRPr="0063468B" w:rsidRDefault="0063468B" w:rsidP="0063468B">
      <w:pPr>
        <w:numPr>
          <w:ilvl w:val="0"/>
          <w:numId w:val="29"/>
        </w:numPr>
        <w:jc w:val="both"/>
        <w:rPr>
          <w:b/>
          <w:bCs/>
        </w:rPr>
      </w:pPr>
      <w:r w:rsidRPr="0063468B">
        <w:rPr>
          <w:b/>
          <w:bCs/>
        </w:rPr>
        <w:lastRenderedPageBreak/>
        <w:t>Development and production</w:t>
      </w:r>
      <w:r>
        <w:rPr>
          <w:b/>
          <w:bCs/>
        </w:rPr>
        <w:t xml:space="preserve"> (section 8)</w:t>
      </w:r>
    </w:p>
    <w:p w:rsidR="0063468B" w:rsidRDefault="0063468B" w:rsidP="0063468B">
      <w:pPr>
        <w:ind w:left="737"/>
        <w:jc w:val="both"/>
        <w:rPr>
          <w:bCs/>
          <w:lang w:val="en-US"/>
        </w:rPr>
      </w:pPr>
    </w:p>
    <w:p w:rsidR="0063468B" w:rsidRDefault="0063468B" w:rsidP="0063468B">
      <w:pPr>
        <w:numPr>
          <w:ilvl w:val="1"/>
          <w:numId w:val="29"/>
        </w:numPr>
        <w:ind w:hanging="750"/>
        <w:jc w:val="both"/>
        <w:rPr>
          <w:bCs/>
          <w:lang w:val="en-US"/>
        </w:rPr>
      </w:pPr>
      <w:r>
        <w:rPr>
          <w:bCs/>
          <w:lang w:val="en-US"/>
        </w:rPr>
        <w:t xml:space="preserve">Section 8 – which deals with the preparation and review of the Development Plan following Commercial Discovery – is broadly acceptable </w:t>
      </w:r>
      <w:r w:rsidRPr="0063468B">
        <w:rPr>
          <w:bCs/>
          <w:lang w:val="en-US"/>
        </w:rPr>
        <w:t>and not overly onerous</w:t>
      </w:r>
      <w:r>
        <w:rPr>
          <w:bCs/>
          <w:lang w:val="en-US"/>
        </w:rPr>
        <w:t xml:space="preserve"> for the Contractor</w:t>
      </w:r>
      <w:r w:rsidRPr="0063468B">
        <w:rPr>
          <w:bCs/>
          <w:lang w:val="en-US"/>
        </w:rPr>
        <w:t xml:space="preserve">. </w:t>
      </w:r>
      <w:r>
        <w:rPr>
          <w:bCs/>
          <w:lang w:val="en-US"/>
        </w:rPr>
        <w:t xml:space="preserve">However, some points for consideration are raised below. </w:t>
      </w:r>
    </w:p>
    <w:p w:rsidR="0063468B" w:rsidRPr="0063468B" w:rsidRDefault="0063468B" w:rsidP="0063468B">
      <w:pPr>
        <w:ind w:left="737"/>
        <w:jc w:val="both"/>
        <w:rPr>
          <w:bCs/>
          <w:lang w:val="en-US"/>
        </w:rPr>
      </w:pPr>
    </w:p>
    <w:p w:rsidR="0063468B" w:rsidRPr="0063468B" w:rsidRDefault="0063468B" w:rsidP="0063468B">
      <w:pPr>
        <w:ind w:left="737"/>
        <w:jc w:val="both"/>
        <w:rPr>
          <w:bCs/>
          <w:i/>
          <w:lang w:val="en-US"/>
        </w:rPr>
      </w:pPr>
      <w:r w:rsidRPr="0063468B">
        <w:rPr>
          <w:bCs/>
          <w:i/>
          <w:lang w:val="en-US"/>
        </w:rPr>
        <w:t xml:space="preserve">Development plan deemed to be accepted </w:t>
      </w:r>
      <w:r w:rsidR="00BC5D05">
        <w:rPr>
          <w:bCs/>
          <w:i/>
          <w:lang w:val="en-US"/>
        </w:rPr>
        <w:t xml:space="preserve">after </w:t>
      </w:r>
      <w:r w:rsidRPr="0063468B">
        <w:rPr>
          <w:bCs/>
          <w:i/>
          <w:lang w:val="en-US"/>
        </w:rPr>
        <w:t xml:space="preserve">90 days </w:t>
      </w:r>
    </w:p>
    <w:p w:rsidR="0063468B" w:rsidRDefault="0063468B" w:rsidP="0063468B">
      <w:pPr>
        <w:ind w:left="737"/>
        <w:jc w:val="both"/>
        <w:rPr>
          <w:bCs/>
          <w:lang w:val="en-US"/>
        </w:rPr>
      </w:pPr>
    </w:p>
    <w:p w:rsidR="0063468B" w:rsidRPr="0063468B" w:rsidRDefault="0063468B" w:rsidP="0063468B">
      <w:pPr>
        <w:numPr>
          <w:ilvl w:val="1"/>
          <w:numId w:val="29"/>
        </w:numPr>
        <w:ind w:hanging="750"/>
        <w:jc w:val="both"/>
        <w:rPr>
          <w:bCs/>
          <w:lang w:val="en-US"/>
        </w:rPr>
      </w:pPr>
      <w:r>
        <w:rPr>
          <w:bCs/>
          <w:lang w:val="en-US"/>
        </w:rPr>
        <w:t xml:space="preserve">Under section 8.5, </w:t>
      </w:r>
      <w:r w:rsidRPr="0063468B">
        <w:rPr>
          <w:bCs/>
          <w:lang w:val="en-US"/>
        </w:rPr>
        <w:t xml:space="preserve">if MOGE does not request in writing that changes be made to the </w:t>
      </w:r>
      <w:r>
        <w:rPr>
          <w:bCs/>
          <w:lang w:val="en-US"/>
        </w:rPr>
        <w:t>D</w:t>
      </w:r>
      <w:r w:rsidRPr="0063468B">
        <w:rPr>
          <w:bCs/>
          <w:lang w:val="en-US"/>
        </w:rPr>
        <w:t xml:space="preserve">evelopment </w:t>
      </w:r>
      <w:r>
        <w:rPr>
          <w:bCs/>
          <w:lang w:val="en-US"/>
        </w:rPr>
        <w:t>P</w:t>
      </w:r>
      <w:r w:rsidRPr="0063468B">
        <w:rPr>
          <w:bCs/>
          <w:lang w:val="en-US"/>
        </w:rPr>
        <w:t xml:space="preserve">lan with 90 days </w:t>
      </w:r>
      <w:r>
        <w:rPr>
          <w:bCs/>
          <w:lang w:val="en-US"/>
        </w:rPr>
        <w:t xml:space="preserve">of submission, </w:t>
      </w:r>
      <w:r w:rsidRPr="0063468B">
        <w:rPr>
          <w:bCs/>
          <w:lang w:val="en-US"/>
        </w:rPr>
        <w:t xml:space="preserve">the </w:t>
      </w:r>
      <w:r>
        <w:rPr>
          <w:bCs/>
          <w:lang w:val="en-US"/>
        </w:rPr>
        <w:t xml:space="preserve">Development Plan </w:t>
      </w:r>
      <w:r w:rsidRPr="0063468B">
        <w:rPr>
          <w:bCs/>
          <w:lang w:val="en-US"/>
        </w:rPr>
        <w:t xml:space="preserve">shall be deemed </w:t>
      </w:r>
      <w:r>
        <w:rPr>
          <w:bCs/>
          <w:lang w:val="en-US"/>
        </w:rPr>
        <w:t xml:space="preserve">approved and </w:t>
      </w:r>
      <w:r w:rsidRPr="0063468B">
        <w:rPr>
          <w:bCs/>
          <w:lang w:val="en-US"/>
        </w:rPr>
        <w:t>adopted. The 90</w:t>
      </w:r>
      <w:r>
        <w:rPr>
          <w:bCs/>
          <w:lang w:val="en-US"/>
        </w:rPr>
        <w:t xml:space="preserve">-day </w:t>
      </w:r>
      <w:r w:rsidRPr="0063468B">
        <w:rPr>
          <w:bCs/>
          <w:lang w:val="en-US"/>
        </w:rPr>
        <w:t xml:space="preserve">period is lengthy </w:t>
      </w:r>
      <w:r>
        <w:rPr>
          <w:bCs/>
          <w:lang w:val="en-US"/>
        </w:rPr>
        <w:t xml:space="preserve">in comparison to certain other </w:t>
      </w:r>
      <w:r w:rsidRPr="0063468B">
        <w:rPr>
          <w:bCs/>
          <w:lang w:val="en-US"/>
        </w:rPr>
        <w:t>PSC</w:t>
      </w:r>
      <w:r>
        <w:rPr>
          <w:bCs/>
          <w:lang w:val="en-US"/>
        </w:rPr>
        <w:t>s. For example, the equivalent period under the T</w:t>
      </w:r>
      <w:r w:rsidRPr="0063468B">
        <w:rPr>
          <w:bCs/>
          <w:lang w:val="en-US"/>
        </w:rPr>
        <w:t xml:space="preserve">rinidad </w:t>
      </w:r>
      <w:r w:rsidR="00BC5D05">
        <w:rPr>
          <w:bCs/>
          <w:lang w:val="en-US"/>
        </w:rPr>
        <w:t>&amp;</w:t>
      </w:r>
      <w:r w:rsidRPr="0063468B">
        <w:rPr>
          <w:bCs/>
          <w:lang w:val="en-US"/>
        </w:rPr>
        <w:t xml:space="preserve"> Tobago </w:t>
      </w:r>
      <w:r w:rsidR="00BC5D05">
        <w:rPr>
          <w:bCs/>
          <w:lang w:val="en-US"/>
        </w:rPr>
        <w:t xml:space="preserve">and Kurdistan PSCs is </w:t>
      </w:r>
      <w:r w:rsidRPr="0063468B">
        <w:rPr>
          <w:bCs/>
          <w:lang w:val="en-US"/>
        </w:rPr>
        <w:t>60 days</w:t>
      </w:r>
      <w:r w:rsidR="00BC5D05">
        <w:rPr>
          <w:bCs/>
          <w:lang w:val="en-US"/>
        </w:rPr>
        <w:t xml:space="preserve">. On the other hand, the Madagascar PSC also provides for a 90-day approval period. </w:t>
      </w:r>
    </w:p>
    <w:p w:rsidR="00BC5D05" w:rsidRDefault="00BC5D05" w:rsidP="00BC5D05">
      <w:pPr>
        <w:ind w:left="737"/>
        <w:jc w:val="both"/>
        <w:rPr>
          <w:bCs/>
          <w:lang w:val="en-US"/>
        </w:rPr>
      </w:pPr>
    </w:p>
    <w:p w:rsidR="0063468B" w:rsidRPr="00BC4256" w:rsidRDefault="00135E09" w:rsidP="00BC4256">
      <w:pPr>
        <w:ind w:left="737"/>
        <w:jc w:val="both"/>
        <w:rPr>
          <w:bCs/>
          <w:i/>
          <w:lang w:val="en-US"/>
        </w:rPr>
      </w:pPr>
      <w:r>
        <w:rPr>
          <w:bCs/>
          <w:i/>
          <w:lang w:val="en-US"/>
        </w:rPr>
        <w:t>D</w:t>
      </w:r>
      <w:r w:rsidR="0063468B" w:rsidRPr="00BC4256">
        <w:rPr>
          <w:bCs/>
          <w:i/>
          <w:lang w:val="en-US"/>
        </w:rPr>
        <w:t>elivery facilities</w:t>
      </w:r>
      <w:r>
        <w:rPr>
          <w:bCs/>
          <w:i/>
          <w:lang w:val="en-US"/>
        </w:rPr>
        <w:t xml:space="preserve"> to include cable and pipelines</w:t>
      </w:r>
    </w:p>
    <w:p w:rsidR="0063468B" w:rsidRPr="0063468B" w:rsidRDefault="0063468B" w:rsidP="00BC4256">
      <w:pPr>
        <w:ind w:left="737"/>
        <w:jc w:val="both"/>
        <w:rPr>
          <w:bCs/>
          <w:lang w:val="en-US"/>
        </w:rPr>
      </w:pPr>
    </w:p>
    <w:p w:rsidR="0063468B" w:rsidRPr="0063468B" w:rsidRDefault="0063468B" w:rsidP="0063468B">
      <w:pPr>
        <w:numPr>
          <w:ilvl w:val="1"/>
          <w:numId w:val="29"/>
        </w:numPr>
        <w:ind w:hanging="750"/>
        <w:jc w:val="both"/>
        <w:rPr>
          <w:bCs/>
          <w:lang w:val="en-US"/>
        </w:rPr>
      </w:pPr>
      <w:r w:rsidRPr="0063468B">
        <w:rPr>
          <w:bCs/>
          <w:lang w:val="en-US"/>
        </w:rPr>
        <w:t xml:space="preserve">For the avoidance of doubt </w:t>
      </w:r>
      <w:r w:rsidR="00282AE2">
        <w:t>Contractor</w:t>
      </w:r>
      <w:r w:rsidR="00282AE2" w:rsidRPr="0063468B">
        <w:rPr>
          <w:bCs/>
          <w:lang w:val="en-US"/>
        </w:rPr>
        <w:t xml:space="preserve"> </w:t>
      </w:r>
      <w:r w:rsidRPr="0063468B">
        <w:rPr>
          <w:bCs/>
          <w:lang w:val="en-US"/>
        </w:rPr>
        <w:t xml:space="preserve">might want to consider the addition of the wording “cable and pipelines” in relation to “delivery facilities” in </w:t>
      </w:r>
      <w:r w:rsidR="00135E09">
        <w:rPr>
          <w:bCs/>
          <w:lang w:val="en-US"/>
        </w:rPr>
        <w:t xml:space="preserve">section </w:t>
      </w:r>
      <w:r w:rsidRPr="0063468B">
        <w:rPr>
          <w:bCs/>
          <w:lang w:val="en-US"/>
        </w:rPr>
        <w:t xml:space="preserve">8.3(b). </w:t>
      </w:r>
    </w:p>
    <w:p w:rsidR="0063468B" w:rsidRPr="0063468B" w:rsidRDefault="0063468B" w:rsidP="00BC4256">
      <w:pPr>
        <w:ind w:left="737"/>
        <w:jc w:val="both"/>
        <w:rPr>
          <w:bCs/>
          <w:lang w:val="en-US"/>
        </w:rPr>
      </w:pPr>
    </w:p>
    <w:p w:rsidR="00F06F33" w:rsidRPr="00F06F33" w:rsidRDefault="00F06F33" w:rsidP="00430A3F">
      <w:pPr>
        <w:numPr>
          <w:ilvl w:val="0"/>
          <w:numId w:val="29"/>
        </w:numPr>
        <w:jc w:val="both"/>
        <w:rPr>
          <w:b/>
          <w:bCs/>
        </w:rPr>
      </w:pPr>
      <w:r w:rsidRPr="00F06F33">
        <w:rPr>
          <w:b/>
          <w:bCs/>
        </w:rPr>
        <w:t>Cost recovery</w:t>
      </w:r>
      <w:r w:rsidR="00430A3F">
        <w:rPr>
          <w:b/>
          <w:bCs/>
        </w:rPr>
        <w:t xml:space="preserve"> (section 9)</w:t>
      </w:r>
    </w:p>
    <w:p w:rsidR="00F06F33" w:rsidRPr="00F06F33" w:rsidRDefault="00F06F33" w:rsidP="00430A3F">
      <w:pPr>
        <w:ind w:left="737"/>
        <w:jc w:val="both"/>
        <w:rPr>
          <w:b/>
          <w:bCs/>
        </w:rPr>
      </w:pPr>
    </w:p>
    <w:p w:rsidR="00D00906" w:rsidRPr="00D00906" w:rsidRDefault="00430A3F" w:rsidP="00D00906">
      <w:pPr>
        <w:numPr>
          <w:ilvl w:val="1"/>
          <w:numId w:val="29"/>
        </w:numPr>
        <w:ind w:hanging="750"/>
        <w:jc w:val="both"/>
        <w:rPr>
          <w:bCs/>
          <w:lang w:val="en-US"/>
        </w:rPr>
      </w:pPr>
      <w:r w:rsidRPr="00D00906">
        <w:rPr>
          <w:bCs/>
        </w:rPr>
        <w:t>C</w:t>
      </w:r>
      <w:r w:rsidR="00F06F33" w:rsidRPr="00D00906">
        <w:rPr>
          <w:bCs/>
        </w:rPr>
        <w:t xml:space="preserve">ost recovery </w:t>
      </w:r>
      <w:r w:rsidRPr="00D00906">
        <w:rPr>
          <w:bCs/>
        </w:rPr>
        <w:t xml:space="preserve">under section 9 of the Myanmar PSC </w:t>
      </w:r>
      <w:r w:rsidR="00F06F33" w:rsidRPr="00D00906">
        <w:rPr>
          <w:bCs/>
        </w:rPr>
        <w:t xml:space="preserve">is limited </w:t>
      </w:r>
      <w:r w:rsidRPr="00D00906">
        <w:rPr>
          <w:bCs/>
        </w:rPr>
        <w:t xml:space="preserve">to </w:t>
      </w:r>
      <w:r w:rsidR="00F06F33" w:rsidRPr="00D00906">
        <w:rPr>
          <w:bCs/>
        </w:rPr>
        <w:t>“Cost Petroleum”</w:t>
      </w:r>
      <w:r w:rsidRPr="00D00906">
        <w:rPr>
          <w:bCs/>
        </w:rPr>
        <w:t xml:space="preserve">, </w:t>
      </w:r>
      <w:r w:rsidR="00F06F33" w:rsidRPr="00D00906">
        <w:rPr>
          <w:bCs/>
        </w:rPr>
        <w:t xml:space="preserve">which is a maximum of </w:t>
      </w:r>
      <w:r w:rsidR="00F06F33" w:rsidRPr="00D00906">
        <w:rPr>
          <w:bCs/>
          <w:lang w:val="en-US"/>
        </w:rPr>
        <w:t xml:space="preserve">50% of “Available Petroleum” (i.e. petroleum produced and saved and not used in </w:t>
      </w:r>
      <w:r w:rsidRPr="00D00906">
        <w:rPr>
          <w:bCs/>
          <w:lang w:val="en-US"/>
        </w:rPr>
        <w:t>P</w:t>
      </w:r>
      <w:r w:rsidR="00F06F33" w:rsidRPr="00D00906">
        <w:rPr>
          <w:bCs/>
          <w:lang w:val="en-US"/>
        </w:rPr>
        <w:t xml:space="preserve">etroleum </w:t>
      </w:r>
      <w:r w:rsidRPr="00D00906">
        <w:rPr>
          <w:bCs/>
          <w:lang w:val="en-US"/>
        </w:rPr>
        <w:t>O</w:t>
      </w:r>
      <w:r w:rsidR="00F06F33" w:rsidRPr="00D00906">
        <w:rPr>
          <w:bCs/>
          <w:lang w:val="en-US"/>
        </w:rPr>
        <w:t xml:space="preserve">perations) (section 9.4). Costs are generally recoverable when incurred or in the financial year in which commercial production occurs, whichever is later. </w:t>
      </w:r>
      <w:r w:rsidR="00D00906" w:rsidRPr="00D00906">
        <w:rPr>
          <w:bCs/>
          <w:lang w:val="en-US"/>
        </w:rPr>
        <w:t xml:space="preserve">Costs are ring-fenced (section 9.4). If costs exceed the value of Cost Petroleum they can be carried forward to the next accounting period, as so on (section 9.5). </w:t>
      </w:r>
      <w:r w:rsidR="00D00906">
        <w:rPr>
          <w:bCs/>
          <w:lang w:val="en-US"/>
        </w:rPr>
        <w:t xml:space="preserve">Signature and Production Bonuses are not </w:t>
      </w:r>
      <w:r w:rsidR="00D00906" w:rsidRPr="00D00906">
        <w:rPr>
          <w:bCs/>
          <w:lang w:val="en-US"/>
        </w:rPr>
        <w:t>cost recovera</w:t>
      </w:r>
      <w:r w:rsidR="00D00906">
        <w:rPr>
          <w:bCs/>
          <w:lang w:val="en-US"/>
        </w:rPr>
        <w:t>b</w:t>
      </w:r>
      <w:r w:rsidR="00D00906" w:rsidRPr="00D00906">
        <w:rPr>
          <w:bCs/>
          <w:lang w:val="en-US"/>
        </w:rPr>
        <w:t>le</w:t>
      </w:r>
      <w:r w:rsidR="00D00906">
        <w:rPr>
          <w:bCs/>
          <w:lang w:val="en-US"/>
        </w:rPr>
        <w:t xml:space="preserve"> (sections 2.7 and 11.3)</w:t>
      </w:r>
      <w:r w:rsidR="00D00906">
        <w:rPr>
          <w:rStyle w:val="FootnoteReference"/>
          <w:bCs/>
          <w:lang w:val="en-US"/>
        </w:rPr>
        <w:footnoteReference w:id="2"/>
      </w:r>
      <w:r w:rsidR="00D00906" w:rsidRPr="00D00906">
        <w:rPr>
          <w:bCs/>
          <w:lang w:val="en-US"/>
        </w:rPr>
        <w:t xml:space="preserve">. </w:t>
      </w:r>
    </w:p>
    <w:p w:rsidR="00F06F33" w:rsidRPr="00F06F33" w:rsidRDefault="00F06F33" w:rsidP="00D00906">
      <w:pPr>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Recoverable costs include:</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exploration and appraisal costs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intangible drilling costs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capital expenditures (recoverable at a rate of 25% per year based on amortization)</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labour and related costs (in respect of local employees and assigned personnel resident in Myanmar, and overseas personne</w:t>
      </w:r>
      <w:r w:rsidR="00D53B50">
        <w:rPr>
          <w:bCs/>
          <w:lang w:val="en-US"/>
        </w:rPr>
        <w:t>l working on time sheet basis)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lastRenderedPageBreak/>
        <w:t>employee training expenses (and training spend under section 15 of the PSC)</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costs of materials (which sliding scale discounts to market price for new materials in the case of used materials)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 xml:space="preserve">material transportation costs </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employee transportation and relocation costs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costs of contract services, professional consultants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costs of use of facilities and equipment for direct benefit of the Petroleum Operations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 xml:space="preserve">repair and replacement costs </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insurance premiums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 xml:space="preserve">expenditure incurred in </w:t>
      </w:r>
      <w:r w:rsidR="00B31303" w:rsidRPr="00430A3F">
        <w:rPr>
          <w:bCs/>
          <w:lang w:val="en-US"/>
        </w:rPr>
        <w:t>settlement</w:t>
      </w:r>
      <w:r w:rsidRPr="00430A3F">
        <w:rPr>
          <w:bCs/>
          <w:lang w:val="en-US"/>
        </w:rPr>
        <w:t xml:space="preserve"> of claims etc. for the benefit of the Petroleum Operations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all “charges and fees” paid by the Contractor “with respect to the [PSC]”</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costs of offices, camps, warehouses and other employee facilities (allocated on an equitable basis if such facilities serve more than one Contract Area)</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general and administrative expenses</w:t>
      </w:r>
    </w:p>
    <w:p w:rsidR="00F06F33" w:rsidRPr="00F06F33" w:rsidRDefault="00F06F33" w:rsidP="00430A3F">
      <w:pPr>
        <w:ind w:left="737"/>
        <w:jc w:val="both"/>
        <w:rPr>
          <w:bCs/>
          <w:lang w:val="en-US"/>
        </w:rPr>
      </w:pPr>
    </w:p>
    <w:p w:rsidR="00F06F33" w:rsidRPr="00430A3F" w:rsidRDefault="00F06F33" w:rsidP="00430A3F">
      <w:pPr>
        <w:pStyle w:val="ListParagraph"/>
        <w:numPr>
          <w:ilvl w:val="0"/>
          <w:numId w:val="38"/>
        </w:numPr>
        <w:jc w:val="both"/>
        <w:rPr>
          <w:bCs/>
          <w:lang w:val="en-US"/>
        </w:rPr>
      </w:pPr>
      <w:r w:rsidRPr="00430A3F">
        <w:rPr>
          <w:bCs/>
          <w:lang w:val="en-US"/>
        </w:rPr>
        <w:t>other reasonable expenditure pre-approved by MOGE</w:t>
      </w:r>
    </w:p>
    <w:p w:rsidR="00430A3F" w:rsidRDefault="00430A3F" w:rsidP="00430A3F">
      <w:pPr>
        <w:ind w:left="737"/>
        <w:jc w:val="both"/>
        <w:rPr>
          <w:bCs/>
          <w:i/>
        </w:rPr>
      </w:pPr>
    </w:p>
    <w:p w:rsidR="00F06F33" w:rsidRPr="00F06F33" w:rsidRDefault="00F06F33" w:rsidP="00D00906">
      <w:pPr>
        <w:ind w:left="737"/>
        <w:jc w:val="both"/>
        <w:rPr>
          <w:bCs/>
          <w:i/>
        </w:rPr>
      </w:pPr>
      <w:r w:rsidRPr="00F06F33">
        <w:rPr>
          <w:bCs/>
          <w:i/>
        </w:rPr>
        <w:t>Decommissioning costs</w:t>
      </w:r>
    </w:p>
    <w:p w:rsidR="00F06F33" w:rsidRPr="00F06F33" w:rsidRDefault="00F06F33" w:rsidP="00D00906">
      <w:pPr>
        <w:ind w:left="737"/>
        <w:jc w:val="both"/>
        <w:rPr>
          <w:bCs/>
          <w:i/>
        </w:rPr>
      </w:pPr>
    </w:p>
    <w:p w:rsidR="00D00906" w:rsidRPr="00D00906" w:rsidRDefault="00F06F33" w:rsidP="00D00906">
      <w:pPr>
        <w:numPr>
          <w:ilvl w:val="1"/>
          <w:numId w:val="29"/>
        </w:numPr>
        <w:ind w:hanging="750"/>
        <w:jc w:val="both"/>
        <w:rPr>
          <w:bCs/>
        </w:rPr>
      </w:pPr>
      <w:r w:rsidRPr="00F06F33">
        <w:rPr>
          <w:bCs/>
        </w:rPr>
        <w:t xml:space="preserve">Decommissioning / site rehabilitation costs are not expressly stated to be recoverable costs under the </w:t>
      </w:r>
      <w:r w:rsidR="00D00906">
        <w:rPr>
          <w:bCs/>
        </w:rPr>
        <w:t xml:space="preserve">Myanmar </w:t>
      </w:r>
      <w:r w:rsidRPr="00F06F33">
        <w:rPr>
          <w:bCs/>
        </w:rPr>
        <w:t>PSC. Arguably, such costs are covered by the definition of “Petroleum Costs”, which means “all of the costs and expenditure borne and incurred by Contractor in or in connection with Petroleum Operations”</w:t>
      </w:r>
      <w:r w:rsidRPr="00F06F33">
        <w:rPr>
          <w:bCs/>
          <w:vertAlign w:val="superscript"/>
        </w:rPr>
        <w:footnoteReference w:id="3"/>
      </w:r>
      <w:r w:rsidRPr="00F06F33">
        <w:rPr>
          <w:bCs/>
        </w:rPr>
        <w:t xml:space="preserve">. </w:t>
      </w:r>
      <w:r w:rsidRPr="00D00906">
        <w:rPr>
          <w:bCs/>
          <w:lang w:val="en-US"/>
        </w:rPr>
        <w:t xml:space="preserve">However, it is advisable to clarify that decommissioning costs are covered and are recoverable. </w:t>
      </w:r>
    </w:p>
    <w:p w:rsidR="00D00906" w:rsidRPr="00D00906" w:rsidRDefault="00D00906" w:rsidP="00D00906">
      <w:pPr>
        <w:ind w:left="737"/>
        <w:jc w:val="both"/>
        <w:rPr>
          <w:bCs/>
        </w:rPr>
      </w:pPr>
    </w:p>
    <w:p w:rsidR="00F06F33" w:rsidRPr="00D00906" w:rsidRDefault="00F06F33" w:rsidP="00D00906">
      <w:pPr>
        <w:numPr>
          <w:ilvl w:val="1"/>
          <w:numId w:val="29"/>
        </w:numPr>
        <w:ind w:hanging="750"/>
        <w:jc w:val="both"/>
        <w:rPr>
          <w:bCs/>
        </w:rPr>
      </w:pPr>
      <w:r w:rsidRPr="00D00906">
        <w:rPr>
          <w:bCs/>
          <w:lang w:val="en-US"/>
        </w:rPr>
        <w:t xml:space="preserve">In addition, </w:t>
      </w:r>
      <w:r w:rsidR="00282AE2">
        <w:t>Contractor</w:t>
      </w:r>
      <w:r w:rsidR="00282AE2" w:rsidRPr="00D00906">
        <w:rPr>
          <w:bCs/>
          <w:lang w:val="en-US"/>
        </w:rPr>
        <w:t xml:space="preserve"> </w:t>
      </w:r>
      <w:r w:rsidRPr="00D00906">
        <w:rPr>
          <w:bCs/>
          <w:lang w:val="en-US"/>
        </w:rPr>
        <w:t xml:space="preserve">may consider providing for a right to establish a reserve fund for future decommissioning and site restoration towards the end of the term </w:t>
      </w:r>
      <w:r w:rsidRPr="00D00906">
        <w:rPr>
          <w:bCs/>
          <w:lang w:val="en-US"/>
        </w:rPr>
        <w:lastRenderedPageBreak/>
        <w:t xml:space="preserve">of production operations. Any contributions to the Decommissioning Reserve Fund would be deemed recoverable petroleum costs. </w:t>
      </w:r>
    </w:p>
    <w:p w:rsidR="00F06F33" w:rsidRPr="00F06F33" w:rsidRDefault="00F06F33" w:rsidP="00D00906">
      <w:pPr>
        <w:ind w:left="737"/>
        <w:jc w:val="both"/>
        <w:rPr>
          <w:bCs/>
        </w:rPr>
      </w:pPr>
    </w:p>
    <w:p w:rsidR="00F06F33" w:rsidRPr="00F06F33" w:rsidRDefault="00F06F33" w:rsidP="00D00906">
      <w:pPr>
        <w:ind w:left="737"/>
        <w:jc w:val="both"/>
        <w:rPr>
          <w:bCs/>
          <w:i/>
        </w:rPr>
      </w:pPr>
      <w:r w:rsidRPr="00F06F33">
        <w:rPr>
          <w:bCs/>
          <w:i/>
        </w:rPr>
        <w:t>Expenditure on EIA, SIA and EMP</w:t>
      </w:r>
    </w:p>
    <w:p w:rsidR="00F06F33" w:rsidRPr="00F06F33" w:rsidRDefault="00F06F33" w:rsidP="00D00906">
      <w:pPr>
        <w:ind w:left="737"/>
        <w:jc w:val="both"/>
        <w:rPr>
          <w:bCs/>
        </w:rPr>
      </w:pPr>
    </w:p>
    <w:p w:rsidR="00F06F33" w:rsidRPr="00F06F33" w:rsidRDefault="00F06F33" w:rsidP="00F06F33">
      <w:pPr>
        <w:numPr>
          <w:ilvl w:val="1"/>
          <w:numId w:val="29"/>
        </w:numPr>
        <w:ind w:hanging="750"/>
        <w:jc w:val="both"/>
        <w:rPr>
          <w:bCs/>
          <w:lang w:val="en-US"/>
        </w:rPr>
      </w:pPr>
      <w:r w:rsidRPr="00F06F33">
        <w:rPr>
          <w:bCs/>
        </w:rPr>
        <w:t xml:space="preserve">It is not clear whether expenditure on preparation of the </w:t>
      </w:r>
      <w:r w:rsidR="00D00906">
        <w:rPr>
          <w:bCs/>
        </w:rPr>
        <w:t>EIA, SIA and EMP</w:t>
      </w:r>
      <w:r w:rsidRPr="00F06F33">
        <w:rPr>
          <w:bCs/>
        </w:rPr>
        <w:t xml:space="preserve"> during the “Preparation Period” (before the Exploration Period) is recoverable as “Petroleum Costs”. For the avoidance of doubt, </w:t>
      </w:r>
      <w:r w:rsidR="00282AE2">
        <w:t>Contractor</w:t>
      </w:r>
      <w:r w:rsidR="00282AE2" w:rsidRPr="00F06F33">
        <w:rPr>
          <w:bCs/>
        </w:rPr>
        <w:t xml:space="preserve"> </w:t>
      </w:r>
      <w:r w:rsidRPr="00F06F33">
        <w:rPr>
          <w:bCs/>
        </w:rPr>
        <w:t xml:space="preserve">may consider to include such expenditure expressly as recoverable. For example, in the Kurdistan PSC, </w:t>
      </w:r>
      <w:r w:rsidRPr="00F06F33">
        <w:rPr>
          <w:bCs/>
          <w:lang w:val="en-US"/>
        </w:rPr>
        <w:t xml:space="preserve">costs incurred in environmental or ecological surveys required by regulatory authorities, including an environmental impact assessment commissioned under the Kurdistan PSC are expressly recoverable. </w:t>
      </w:r>
    </w:p>
    <w:p w:rsidR="00F06F33" w:rsidRPr="00F06F33" w:rsidRDefault="00F06F33" w:rsidP="00D00906">
      <w:pPr>
        <w:ind w:left="737"/>
        <w:jc w:val="both"/>
        <w:rPr>
          <w:bCs/>
          <w:lang w:val="en-US"/>
        </w:rPr>
      </w:pPr>
    </w:p>
    <w:p w:rsidR="00F06F33" w:rsidRPr="00F06F33" w:rsidRDefault="00F06F33" w:rsidP="00D00906">
      <w:pPr>
        <w:ind w:left="737"/>
        <w:jc w:val="both"/>
        <w:rPr>
          <w:bCs/>
          <w:i/>
          <w:lang w:val="en-US"/>
        </w:rPr>
      </w:pPr>
      <w:r w:rsidRPr="00F06F33">
        <w:rPr>
          <w:bCs/>
          <w:i/>
          <w:lang w:val="en-US"/>
        </w:rPr>
        <w:t>Pollution, clean up costs</w:t>
      </w:r>
    </w:p>
    <w:p w:rsidR="00F06F33" w:rsidRPr="00F06F33" w:rsidRDefault="00F06F33" w:rsidP="00D00906">
      <w:pPr>
        <w:ind w:left="737"/>
        <w:jc w:val="both"/>
        <w:rPr>
          <w:bCs/>
          <w:i/>
          <w:lang w:val="en-US"/>
        </w:rPr>
      </w:pPr>
    </w:p>
    <w:p w:rsidR="00F06F33" w:rsidRPr="00F06F33" w:rsidRDefault="00282AE2" w:rsidP="00F06F33">
      <w:pPr>
        <w:numPr>
          <w:ilvl w:val="1"/>
          <w:numId w:val="29"/>
        </w:numPr>
        <w:ind w:hanging="750"/>
        <w:jc w:val="both"/>
        <w:rPr>
          <w:bCs/>
          <w:lang w:val="en-US"/>
        </w:rPr>
      </w:pPr>
      <w:r>
        <w:t>Contractor</w:t>
      </w:r>
      <w:r w:rsidRPr="00F06F33">
        <w:rPr>
          <w:bCs/>
          <w:lang w:val="en-US"/>
        </w:rPr>
        <w:t xml:space="preserve"> </w:t>
      </w:r>
      <w:r w:rsidR="00F06F33" w:rsidRPr="00F06F33">
        <w:rPr>
          <w:bCs/>
          <w:lang w:val="en-US"/>
        </w:rPr>
        <w:t xml:space="preserve">may consider to expressly include as recoverable costs, costs to provide or have available pollution containment and removal equipment, as well as the costs of actual control and cleanup of oil spills, and of such further responsibilities resulting therefrom as may be required by applicable laws and regulations. </w:t>
      </w:r>
    </w:p>
    <w:p w:rsidR="00F06F33" w:rsidRPr="00F06F33" w:rsidRDefault="00F06F33" w:rsidP="00D00906">
      <w:pPr>
        <w:ind w:left="737"/>
        <w:jc w:val="both"/>
        <w:rPr>
          <w:bCs/>
        </w:rPr>
      </w:pPr>
    </w:p>
    <w:p w:rsidR="00F06F33" w:rsidRPr="00F06F33" w:rsidRDefault="00F06F33" w:rsidP="00D00906">
      <w:pPr>
        <w:ind w:left="737"/>
        <w:jc w:val="both"/>
        <w:rPr>
          <w:bCs/>
          <w:i/>
        </w:rPr>
      </w:pPr>
      <w:r w:rsidRPr="00F06F33">
        <w:rPr>
          <w:bCs/>
          <w:i/>
        </w:rPr>
        <w:t>Financing costs, bank guarantees</w:t>
      </w:r>
    </w:p>
    <w:p w:rsidR="00F06F33" w:rsidRPr="00F06F33" w:rsidRDefault="00F06F33" w:rsidP="00D00906">
      <w:pPr>
        <w:ind w:left="737"/>
        <w:jc w:val="both"/>
        <w:rPr>
          <w:bCs/>
          <w:i/>
        </w:rPr>
      </w:pPr>
    </w:p>
    <w:p w:rsidR="00F06F33" w:rsidRPr="00F06F33" w:rsidRDefault="00F06F33" w:rsidP="00F06F33">
      <w:pPr>
        <w:numPr>
          <w:ilvl w:val="1"/>
          <w:numId w:val="29"/>
        </w:numPr>
        <w:ind w:hanging="750"/>
        <w:jc w:val="both"/>
        <w:rPr>
          <w:bCs/>
          <w:lang w:val="en-US"/>
        </w:rPr>
      </w:pPr>
      <w:r w:rsidRPr="00F06F33">
        <w:rPr>
          <w:bCs/>
          <w:lang w:val="en-US"/>
        </w:rPr>
        <w:t xml:space="preserve">Generally, very few PSCs will allow for the recovery of financing costs or interest expense. However, financing costs are not expressly excluded from the list of recoverable costs under the Myanmar PSC and </w:t>
      </w:r>
      <w:r w:rsidR="00282AE2">
        <w:t>Contractor</w:t>
      </w:r>
      <w:r w:rsidR="00282AE2" w:rsidRPr="00F06F33">
        <w:rPr>
          <w:bCs/>
          <w:lang w:val="en-US"/>
        </w:rPr>
        <w:t xml:space="preserve"> </w:t>
      </w:r>
      <w:r w:rsidRPr="00F06F33">
        <w:rPr>
          <w:bCs/>
          <w:lang w:val="en-US"/>
        </w:rPr>
        <w:t>may wish to</w:t>
      </w:r>
      <w:r w:rsidR="00D00906">
        <w:rPr>
          <w:bCs/>
          <w:lang w:val="en-US"/>
        </w:rPr>
        <w:t xml:space="preserve"> go further to </w:t>
      </w:r>
      <w:r w:rsidRPr="00F06F33">
        <w:rPr>
          <w:bCs/>
          <w:lang w:val="en-US"/>
        </w:rPr>
        <w:t xml:space="preserve">clarify that such costs are recoverable. As an example, under the </w:t>
      </w:r>
      <w:r w:rsidRPr="00F06F33">
        <w:rPr>
          <w:bCs/>
        </w:rPr>
        <w:t xml:space="preserve">Bangladesh PSC, </w:t>
      </w:r>
      <w:r w:rsidRPr="00F06F33">
        <w:rPr>
          <w:bCs/>
          <w:lang w:val="en-US"/>
        </w:rPr>
        <w:t xml:space="preserve">interest payable for any loan taken out by Contractor to finance any development is recoverable, subject to such development loan being approved by </w:t>
      </w:r>
      <w:r w:rsidR="00D00906">
        <w:rPr>
          <w:bCs/>
          <w:lang w:val="en-US"/>
        </w:rPr>
        <w:t>the national company (</w:t>
      </w:r>
      <w:r w:rsidRPr="00F06F33">
        <w:rPr>
          <w:bCs/>
          <w:lang w:val="en-US"/>
        </w:rPr>
        <w:t>Petrobangla</w:t>
      </w:r>
      <w:r w:rsidR="00D00906">
        <w:rPr>
          <w:bCs/>
          <w:lang w:val="en-US"/>
        </w:rPr>
        <w:t xml:space="preserve">), </w:t>
      </w:r>
      <w:r w:rsidRPr="00F06F33">
        <w:rPr>
          <w:bCs/>
          <w:lang w:val="en-US"/>
        </w:rPr>
        <w:t xml:space="preserve">and provided the interest rate is competitive with rates for loans for comparable </w:t>
      </w:r>
      <w:r w:rsidR="00D00906">
        <w:rPr>
          <w:bCs/>
          <w:lang w:val="en-US"/>
        </w:rPr>
        <w:t>projects</w:t>
      </w:r>
      <w:r w:rsidRPr="00F06F33">
        <w:rPr>
          <w:bCs/>
          <w:lang w:val="en-US"/>
        </w:rPr>
        <w:t xml:space="preserve">.  </w:t>
      </w:r>
    </w:p>
    <w:p w:rsidR="00F06F33" w:rsidRPr="00F06F33" w:rsidRDefault="00F06F33" w:rsidP="00D00906">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Under the Ban</w:t>
      </w:r>
      <w:r w:rsidR="00D00906">
        <w:rPr>
          <w:bCs/>
          <w:lang w:val="en-US"/>
        </w:rPr>
        <w:t xml:space="preserve">gladesh PSC, interest is not </w:t>
      </w:r>
      <w:r w:rsidRPr="00F06F33">
        <w:rPr>
          <w:bCs/>
          <w:lang w:val="en-US"/>
        </w:rPr>
        <w:t xml:space="preserve">recoverable to the extent that it is payable on any loan, or part thereof, which relates to exploration or appraisal operations. In addition, where a development loan exceeds 50% of the overall costs of the development, interest thereon is only recoverable only insofar as it relates to 50% of the costs. </w:t>
      </w:r>
    </w:p>
    <w:p w:rsidR="00F06F33" w:rsidRPr="00F06F33" w:rsidRDefault="00F06F33" w:rsidP="00D00906">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In addition, as mentioned above in relation to </w:t>
      </w:r>
      <w:r w:rsidR="00D00906">
        <w:rPr>
          <w:bCs/>
          <w:lang w:val="en-US"/>
        </w:rPr>
        <w:t xml:space="preserve">the minimum expenditure commitment under </w:t>
      </w:r>
      <w:r w:rsidRPr="00F06F33">
        <w:rPr>
          <w:bCs/>
          <w:lang w:val="en-US"/>
        </w:rPr>
        <w:t xml:space="preserve">section 5 </w:t>
      </w:r>
      <w:r w:rsidR="00D00906">
        <w:rPr>
          <w:bCs/>
          <w:lang w:val="en-US"/>
        </w:rPr>
        <w:t xml:space="preserve">of the Myanmar PSC, </w:t>
      </w:r>
      <w:r w:rsidR="00282AE2">
        <w:t>Contractor</w:t>
      </w:r>
      <w:r w:rsidR="00282AE2">
        <w:rPr>
          <w:bCs/>
        </w:rPr>
        <w:t xml:space="preserve"> </w:t>
      </w:r>
      <w:r w:rsidR="00D00906">
        <w:rPr>
          <w:bCs/>
        </w:rPr>
        <w:t xml:space="preserve">may wish to </w:t>
      </w:r>
      <w:r w:rsidRPr="00F06F33">
        <w:rPr>
          <w:bCs/>
        </w:rPr>
        <w:t xml:space="preserve">clarify whether </w:t>
      </w:r>
      <w:r w:rsidRPr="00F06F33">
        <w:rPr>
          <w:bCs/>
          <w:lang w:val="en-US"/>
        </w:rPr>
        <w:t xml:space="preserve">the costs of any bank guarantee required under the </w:t>
      </w:r>
      <w:r w:rsidR="00D00906">
        <w:rPr>
          <w:bCs/>
          <w:lang w:val="en-US"/>
        </w:rPr>
        <w:t xml:space="preserve">Myanmar </w:t>
      </w:r>
      <w:r w:rsidRPr="00F06F33">
        <w:rPr>
          <w:bCs/>
          <w:lang w:val="en-US"/>
        </w:rPr>
        <w:t>PSC is recoverable (it is not specifically listed in Annex C, although it could be covered by “Charges and Fees” in para</w:t>
      </w:r>
      <w:r w:rsidR="00D00906">
        <w:rPr>
          <w:bCs/>
          <w:lang w:val="en-US"/>
        </w:rPr>
        <w:t>graph</w:t>
      </w:r>
      <w:r w:rsidRPr="00F06F33">
        <w:rPr>
          <w:bCs/>
          <w:lang w:val="en-US"/>
        </w:rPr>
        <w:t xml:space="preserve"> 2.9</w:t>
      </w:r>
      <w:r w:rsidR="00D00906">
        <w:rPr>
          <w:bCs/>
          <w:lang w:val="en-US"/>
        </w:rPr>
        <w:t xml:space="preserve"> of Annex C</w:t>
      </w:r>
      <w:r w:rsidRPr="00F06F33">
        <w:rPr>
          <w:bCs/>
          <w:lang w:val="en-US"/>
        </w:rPr>
        <w:t xml:space="preserve">). </w:t>
      </w:r>
    </w:p>
    <w:p w:rsidR="00F06F33" w:rsidRPr="00F06F33" w:rsidRDefault="00F06F33" w:rsidP="00D00906">
      <w:pPr>
        <w:ind w:left="737"/>
        <w:jc w:val="both"/>
        <w:rPr>
          <w:bCs/>
          <w:lang w:val="en-US"/>
        </w:rPr>
      </w:pPr>
    </w:p>
    <w:p w:rsidR="00F06F33" w:rsidRPr="00F06F33" w:rsidRDefault="00F06F33" w:rsidP="0020069B">
      <w:pPr>
        <w:numPr>
          <w:ilvl w:val="0"/>
          <w:numId w:val="29"/>
        </w:numPr>
        <w:jc w:val="both"/>
        <w:rPr>
          <w:b/>
          <w:bCs/>
        </w:rPr>
      </w:pPr>
      <w:r w:rsidRPr="00F06F33">
        <w:rPr>
          <w:b/>
          <w:bCs/>
        </w:rPr>
        <w:t>Profit allocation</w:t>
      </w:r>
      <w:r w:rsidR="0020069B">
        <w:rPr>
          <w:b/>
          <w:bCs/>
        </w:rPr>
        <w:t xml:space="preserve"> (section 9)</w:t>
      </w:r>
    </w:p>
    <w:p w:rsidR="00F06F33" w:rsidRPr="00F06F33" w:rsidRDefault="00F06F33" w:rsidP="0020069B">
      <w:pPr>
        <w:ind w:left="737"/>
        <w:jc w:val="both"/>
        <w:rPr>
          <w:bCs/>
        </w:rPr>
      </w:pPr>
    </w:p>
    <w:p w:rsidR="00F06F33" w:rsidRPr="00F06F33" w:rsidRDefault="00282AE2" w:rsidP="00F06F33">
      <w:pPr>
        <w:numPr>
          <w:ilvl w:val="1"/>
          <w:numId w:val="29"/>
        </w:numPr>
        <w:ind w:hanging="750"/>
        <w:jc w:val="both"/>
        <w:rPr>
          <w:bCs/>
          <w:lang w:val="en-US"/>
        </w:rPr>
      </w:pPr>
      <w:r>
        <w:lastRenderedPageBreak/>
        <w:t>Contractor</w:t>
      </w:r>
      <w:r w:rsidRPr="00F06F33">
        <w:rPr>
          <w:bCs/>
        </w:rPr>
        <w:t xml:space="preserve"> </w:t>
      </w:r>
      <w:r w:rsidR="00F06F33" w:rsidRPr="00F06F33">
        <w:rPr>
          <w:bCs/>
        </w:rPr>
        <w:t xml:space="preserve">will note that </w:t>
      </w:r>
      <w:r w:rsidR="00E94618">
        <w:rPr>
          <w:bCs/>
        </w:rPr>
        <w:t xml:space="preserve">the </w:t>
      </w:r>
      <w:r w:rsidR="00F06F33" w:rsidRPr="00F06F33">
        <w:rPr>
          <w:bCs/>
        </w:rPr>
        <w:t xml:space="preserve">split of “Profit Petroleum” (i.e. after deduction of royalty and costs) is </w:t>
      </w:r>
      <w:r w:rsidR="00F06F33" w:rsidRPr="00F06F33">
        <w:rPr>
          <w:bCs/>
          <w:lang w:val="en-US"/>
        </w:rPr>
        <w:t xml:space="preserve">done using a sliding scale to increase the Government’s share of profit oil as the project attains different production criteria, as follows: </w:t>
      </w:r>
    </w:p>
    <w:p w:rsidR="00F06F33" w:rsidRPr="00F06F33" w:rsidRDefault="00F06F33" w:rsidP="00DD470D">
      <w:pPr>
        <w:ind w:left="750"/>
        <w:jc w:val="both"/>
        <w:rPr>
          <w:bCs/>
          <w:lang w:val="en-US"/>
        </w:rPr>
      </w:pPr>
    </w:p>
    <w:p w:rsidR="00C47E40" w:rsidRPr="005C34CE" w:rsidRDefault="00C47E40" w:rsidP="00C47E40">
      <w:pPr>
        <w:rPr>
          <w:rFonts w:ascii="Arial" w:hAnsi="Arial" w:cs="Arial"/>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116"/>
      </w:tblGrid>
      <w:tr w:rsidR="00C47E40" w:rsidRPr="00C47E40" w:rsidTr="002834EE">
        <w:tc>
          <w:tcPr>
            <w:tcW w:w="2676" w:type="pct"/>
          </w:tcPr>
          <w:p w:rsidR="00C47E40" w:rsidRPr="00C47E40" w:rsidRDefault="00C47E40" w:rsidP="00C47E40">
            <w:pPr>
              <w:rPr>
                <w:rFonts w:ascii="Times New Roman" w:hAnsi="Times New Roman" w:cs="Times New Roman"/>
                <w:u w:val="single"/>
                <w:lang w:val="en-US"/>
              </w:rPr>
            </w:pPr>
            <w:r w:rsidRPr="00C47E40">
              <w:rPr>
                <w:rFonts w:ascii="Times New Roman" w:hAnsi="Times New Roman" w:cs="Times New Roman"/>
                <w:u w:val="single"/>
                <w:lang w:val="en-US"/>
              </w:rPr>
              <w:t>Crude Oil</w:t>
            </w:r>
            <w:r w:rsidRPr="00C47E40">
              <w:rPr>
                <w:rFonts w:ascii="Times New Roman" w:hAnsi="Times New Roman" w:cs="Times New Roman"/>
                <w:lang w:val="en-US"/>
              </w:rPr>
              <w:t xml:space="preserve"> </w:t>
            </w:r>
          </w:p>
          <w:p w:rsidR="00C47E40" w:rsidRPr="00C47E40" w:rsidRDefault="00C47E40" w:rsidP="00C47E40">
            <w:pPr>
              <w:rPr>
                <w:rFonts w:ascii="Times New Roman" w:hAnsi="Times New Roman" w:cs="Times New Roman"/>
                <w:u w:val="single"/>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1778"/>
              <w:gridCol w:w="62"/>
              <w:gridCol w:w="1146"/>
              <w:gridCol w:w="1466"/>
              <w:gridCol w:w="62"/>
            </w:tblGrid>
            <w:tr w:rsidR="00C47E40" w:rsidRPr="00C47E40" w:rsidTr="00C47E40">
              <w:tc>
                <w:tcPr>
                  <w:tcW w:w="0" w:type="auto"/>
                </w:tcPr>
                <w:p w:rsidR="00C47E40" w:rsidRPr="00C47E40" w:rsidRDefault="00C47E40" w:rsidP="00C47E40">
                  <w:pPr>
                    <w:rPr>
                      <w:lang w:val="en-US"/>
                    </w:rPr>
                  </w:pPr>
                  <w:r w:rsidRPr="00C47E40">
                    <w:rPr>
                      <w:lang w:val="en-US"/>
                    </w:rPr>
                    <w:t>BOPD</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Pr>
                      <w:lang w:val="en-US"/>
                    </w:rPr>
                    <w:t>MOGE (%)</w:t>
                  </w:r>
                </w:p>
              </w:tc>
              <w:tc>
                <w:tcPr>
                  <w:tcW w:w="0" w:type="auto"/>
                </w:tcPr>
                <w:p w:rsidR="00C47E40" w:rsidRPr="00C47E40" w:rsidRDefault="00C47E40" w:rsidP="00C47E40">
                  <w:pPr>
                    <w:rPr>
                      <w:lang w:val="en-US"/>
                    </w:rPr>
                  </w:pPr>
                  <w:r w:rsidRPr="00C47E40">
                    <w:rPr>
                      <w:lang w:val="en-US"/>
                    </w:rPr>
                    <w:t>Contractor (%)</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0 – 10,000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60</w:t>
                  </w:r>
                </w:p>
              </w:tc>
              <w:tc>
                <w:tcPr>
                  <w:tcW w:w="0" w:type="auto"/>
                </w:tcPr>
                <w:p w:rsidR="00C47E40" w:rsidRPr="00C47E40" w:rsidRDefault="00C47E40" w:rsidP="00C47E40">
                  <w:pPr>
                    <w:rPr>
                      <w:lang w:val="en-US"/>
                    </w:rPr>
                  </w:pPr>
                  <w:r w:rsidRPr="00C47E40">
                    <w:rPr>
                      <w:lang w:val="en-US"/>
                    </w:rPr>
                    <w:t>40</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10,001 – 20,000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65</w:t>
                  </w:r>
                </w:p>
              </w:tc>
              <w:tc>
                <w:tcPr>
                  <w:tcW w:w="0" w:type="auto"/>
                </w:tcPr>
                <w:p w:rsidR="00C47E40" w:rsidRPr="00C47E40" w:rsidRDefault="00C47E40" w:rsidP="00C47E40">
                  <w:pPr>
                    <w:rPr>
                      <w:lang w:val="en-US"/>
                    </w:rPr>
                  </w:pPr>
                  <w:r w:rsidRPr="00C47E40">
                    <w:rPr>
                      <w:lang w:val="en-US"/>
                    </w:rPr>
                    <w:t>35</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20,001 – 50,000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70</w:t>
                  </w:r>
                </w:p>
              </w:tc>
              <w:tc>
                <w:tcPr>
                  <w:tcW w:w="0" w:type="auto"/>
                </w:tcPr>
                <w:p w:rsidR="00C47E40" w:rsidRPr="00C47E40" w:rsidRDefault="00C47E40" w:rsidP="00C47E40">
                  <w:pPr>
                    <w:rPr>
                      <w:lang w:val="en-US"/>
                    </w:rPr>
                  </w:pPr>
                  <w:r w:rsidRPr="00C47E40">
                    <w:rPr>
                      <w:lang w:val="en-US"/>
                    </w:rPr>
                    <w:t>30</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50,001 – 100,000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80</w:t>
                  </w:r>
                </w:p>
              </w:tc>
              <w:tc>
                <w:tcPr>
                  <w:tcW w:w="0" w:type="auto"/>
                </w:tcPr>
                <w:p w:rsidR="00C47E40" w:rsidRPr="00C47E40" w:rsidRDefault="00C47E40" w:rsidP="00C47E40">
                  <w:pPr>
                    <w:rPr>
                      <w:lang w:val="en-US"/>
                    </w:rPr>
                  </w:pPr>
                  <w:r w:rsidRPr="00C47E40">
                    <w:rPr>
                      <w:lang w:val="en-US"/>
                    </w:rPr>
                    <w:t>20</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100,001 – 150,000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85</w:t>
                  </w:r>
                </w:p>
              </w:tc>
              <w:tc>
                <w:tcPr>
                  <w:tcW w:w="0" w:type="auto"/>
                </w:tcPr>
                <w:p w:rsidR="00C47E40" w:rsidRPr="00C47E40" w:rsidRDefault="00C47E40" w:rsidP="00C47E40">
                  <w:pPr>
                    <w:rPr>
                      <w:lang w:val="en-US"/>
                    </w:rPr>
                  </w:pPr>
                  <w:r w:rsidRPr="00C47E40">
                    <w:rPr>
                      <w:lang w:val="en-US"/>
                    </w:rPr>
                    <w:t>15</w:t>
                  </w:r>
                </w:p>
              </w:tc>
              <w:tc>
                <w:tcPr>
                  <w:tcW w:w="0" w:type="auto"/>
                </w:tcPr>
                <w:p w:rsidR="00C47E40" w:rsidRPr="00C47E40" w:rsidRDefault="00C47E40" w:rsidP="00C47E40">
                  <w:pPr>
                    <w:rPr>
                      <w:lang w:val="en-US"/>
                    </w:rPr>
                  </w:pPr>
                </w:p>
              </w:tc>
            </w:tr>
            <w:tr w:rsidR="00C47E40" w:rsidRPr="00C47E40" w:rsidTr="00C47E40">
              <w:tc>
                <w:tcPr>
                  <w:tcW w:w="0" w:type="auto"/>
                </w:tcPr>
                <w:p w:rsidR="00C47E40" w:rsidRPr="00C47E40" w:rsidRDefault="00C47E40" w:rsidP="00C47E40">
                  <w:pPr>
                    <w:rPr>
                      <w:lang w:val="en-US"/>
                    </w:rPr>
                  </w:pPr>
                  <w:r w:rsidRPr="00C47E40">
                    <w:rPr>
                      <w:lang w:val="en-US"/>
                    </w:rPr>
                    <w:t>&gt;150,000</w:t>
                  </w:r>
                </w:p>
              </w:tc>
              <w:tc>
                <w:tcPr>
                  <w:tcW w:w="0" w:type="auto"/>
                </w:tcPr>
                <w:p w:rsidR="00C47E40" w:rsidRPr="00C47E40" w:rsidRDefault="00C47E40" w:rsidP="00C47E40">
                  <w:pPr>
                    <w:rPr>
                      <w:lang w:val="en-US"/>
                    </w:rPr>
                  </w:pPr>
                </w:p>
              </w:tc>
              <w:tc>
                <w:tcPr>
                  <w:tcW w:w="0" w:type="auto"/>
                </w:tcPr>
                <w:p w:rsidR="00C47E40" w:rsidRPr="00C47E40" w:rsidRDefault="00C47E40" w:rsidP="00C47E40">
                  <w:pPr>
                    <w:rPr>
                      <w:lang w:val="en-US"/>
                    </w:rPr>
                  </w:pPr>
                  <w:r w:rsidRPr="00C47E40">
                    <w:rPr>
                      <w:lang w:val="en-US"/>
                    </w:rPr>
                    <w:t>90</w:t>
                  </w:r>
                </w:p>
              </w:tc>
              <w:tc>
                <w:tcPr>
                  <w:tcW w:w="0" w:type="auto"/>
                </w:tcPr>
                <w:p w:rsidR="00C47E40" w:rsidRPr="00C47E40" w:rsidRDefault="00C47E40" w:rsidP="00C47E40">
                  <w:pPr>
                    <w:rPr>
                      <w:lang w:val="en-US"/>
                    </w:rPr>
                  </w:pPr>
                  <w:r w:rsidRPr="00C47E40">
                    <w:rPr>
                      <w:lang w:val="en-US"/>
                    </w:rPr>
                    <w:t>10</w:t>
                  </w:r>
                </w:p>
              </w:tc>
              <w:tc>
                <w:tcPr>
                  <w:tcW w:w="0" w:type="auto"/>
                </w:tcPr>
                <w:p w:rsidR="00C47E40" w:rsidRPr="00C47E40" w:rsidRDefault="00C47E40" w:rsidP="00C47E40">
                  <w:pPr>
                    <w:rPr>
                      <w:lang w:val="en-US"/>
                    </w:rPr>
                  </w:pPr>
                </w:p>
              </w:tc>
            </w:tr>
          </w:tbl>
          <w:p w:rsidR="00C47E40" w:rsidRPr="00C47E40" w:rsidRDefault="00C47E40" w:rsidP="00C47E40">
            <w:pPr>
              <w:rPr>
                <w:rFonts w:ascii="Times New Roman" w:hAnsi="Times New Roman" w:cs="Times New Roman"/>
                <w:b/>
                <w:u w:val="single"/>
                <w:lang w:val="en-US"/>
              </w:rPr>
            </w:pPr>
          </w:p>
        </w:tc>
        <w:tc>
          <w:tcPr>
            <w:tcW w:w="2324" w:type="pct"/>
          </w:tcPr>
          <w:p w:rsidR="00C47E40" w:rsidRPr="00C47E40" w:rsidRDefault="00C47E40" w:rsidP="00C47E40">
            <w:pPr>
              <w:rPr>
                <w:rFonts w:ascii="Times New Roman" w:hAnsi="Times New Roman" w:cs="Times New Roman"/>
                <w:u w:val="single"/>
                <w:lang w:val="en-US"/>
              </w:rPr>
            </w:pPr>
            <w:r w:rsidRPr="00C47E40">
              <w:rPr>
                <w:rFonts w:ascii="Times New Roman" w:hAnsi="Times New Roman" w:cs="Times New Roman"/>
                <w:u w:val="single"/>
                <w:lang w:val="en-US"/>
              </w:rPr>
              <w:t>Natural Gas</w:t>
            </w:r>
          </w:p>
          <w:p w:rsidR="00C47E40" w:rsidRPr="00C47E40" w:rsidRDefault="00C47E40" w:rsidP="00C47E40">
            <w:pPr>
              <w:rPr>
                <w:rFonts w:ascii="Times New Roman" w:hAnsi="Times New Roman" w:cs="Times New Roman"/>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000" w:firstRow="0" w:lastRow="0" w:firstColumn="0" w:lastColumn="0" w:noHBand="0" w:noVBand="0"/>
            </w:tblPr>
            <w:tblGrid>
              <w:gridCol w:w="1461"/>
              <w:gridCol w:w="1194"/>
              <w:gridCol w:w="1083"/>
            </w:tblGrid>
            <w:tr w:rsidR="00C47E40" w:rsidRPr="00C47E40" w:rsidTr="00C47E40">
              <w:tc>
                <w:tcPr>
                  <w:tcW w:w="1461" w:type="dxa"/>
                </w:tcPr>
                <w:p w:rsidR="00C47E40" w:rsidRPr="00C47E40" w:rsidRDefault="00C47E40" w:rsidP="00C47E40">
                  <w:pPr>
                    <w:rPr>
                      <w:lang w:val="en-US"/>
                    </w:rPr>
                  </w:pPr>
                  <w:r w:rsidRPr="00C47E40">
                    <w:rPr>
                      <w:lang w:val="en-US"/>
                    </w:rPr>
                    <w:t>MMCFD</w:t>
                  </w:r>
                </w:p>
              </w:tc>
              <w:tc>
                <w:tcPr>
                  <w:tcW w:w="1194" w:type="dxa"/>
                </w:tcPr>
                <w:p w:rsidR="00C47E40" w:rsidRDefault="00C47E40" w:rsidP="00C47E40">
                  <w:pPr>
                    <w:rPr>
                      <w:lang w:val="en-US"/>
                    </w:rPr>
                  </w:pPr>
                  <w:r w:rsidRPr="00C47E40">
                    <w:rPr>
                      <w:lang w:val="en-US"/>
                    </w:rPr>
                    <w:t>MOGE</w:t>
                  </w:r>
                  <w:r>
                    <w:rPr>
                      <w:lang w:val="en-US"/>
                    </w:rPr>
                    <w:t xml:space="preserve"> </w:t>
                  </w:r>
                </w:p>
                <w:p w:rsidR="00C47E40" w:rsidRPr="00C47E40" w:rsidRDefault="00C47E40" w:rsidP="00C47E40">
                  <w:pPr>
                    <w:rPr>
                      <w:lang w:val="en-US"/>
                    </w:rPr>
                  </w:pPr>
                  <w:r w:rsidRPr="00C47E40">
                    <w:rPr>
                      <w:lang w:val="en-US"/>
                    </w:rPr>
                    <w:t>(%)</w:t>
                  </w:r>
                </w:p>
              </w:tc>
              <w:tc>
                <w:tcPr>
                  <w:tcW w:w="1077" w:type="dxa"/>
                </w:tcPr>
                <w:p w:rsidR="00C47E40" w:rsidRPr="00C47E40" w:rsidRDefault="00C47E40" w:rsidP="00C47E40">
                  <w:pPr>
                    <w:rPr>
                      <w:lang w:val="en-US"/>
                    </w:rPr>
                  </w:pPr>
                  <w:r w:rsidRPr="00C47E40">
                    <w:rPr>
                      <w:lang w:val="en-US"/>
                    </w:rPr>
                    <w:t>Contractor</w:t>
                  </w:r>
                  <w:r>
                    <w:rPr>
                      <w:lang w:val="en-US"/>
                    </w:rPr>
                    <w:t xml:space="preserve"> </w:t>
                  </w:r>
                  <w:r w:rsidRPr="00C47E40">
                    <w:rPr>
                      <w:lang w:val="en-US"/>
                    </w:rPr>
                    <w:t>(%)</w:t>
                  </w:r>
                </w:p>
              </w:tc>
            </w:tr>
            <w:tr w:rsidR="00C47E40" w:rsidRPr="00C47E40" w:rsidTr="00C47E40">
              <w:tc>
                <w:tcPr>
                  <w:tcW w:w="1461" w:type="dxa"/>
                </w:tcPr>
                <w:p w:rsidR="00C47E40" w:rsidRPr="00C47E40" w:rsidRDefault="00C47E40" w:rsidP="00C47E40">
                  <w:pPr>
                    <w:rPr>
                      <w:lang w:val="en-US"/>
                    </w:rPr>
                  </w:pPr>
                </w:p>
              </w:tc>
              <w:tc>
                <w:tcPr>
                  <w:tcW w:w="1194" w:type="dxa"/>
                </w:tcPr>
                <w:p w:rsidR="00C47E40" w:rsidRPr="00C47E40" w:rsidRDefault="00C47E40" w:rsidP="00C47E40">
                  <w:pPr>
                    <w:rPr>
                      <w:lang w:val="en-US"/>
                    </w:rPr>
                  </w:pPr>
                </w:p>
              </w:tc>
              <w:tc>
                <w:tcPr>
                  <w:tcW w:w="1077" w:type="dxa"/>
                </w:tcPr>
                <w:p w:rsidR="00C47E40" w:rsidRPr="00C47E40" w:rsidRDefault="00C47E40" w:rsidP="00C47E40">
                  <w:pPr>
                    <w:rPr>
                      <w:lang w:val="en-US"/>
                    </w:rPr>
                  </w:pPr>
                </w:p>
              </w:tc>
            </w:tr>
            <w:tr w:rsidR="00C47E40" w:rsidRPr="00C47E40" w:rsidTr="00C47E40">
              <w:tc>
                <w:tcPr>
                  <w:tcW w:w="1461" w:type="dxa"/>
                </w:tcPr>
                <w:p w:rsidR="00C47E40" w:rsidRPr="00C47E40" w:rsidRDefault="00C47E40" w:rsidP="00C47E40">
                  <w:pPr>
                    <w:rPr>
                      <w:lang w:val="en-US"/>
                    </w:rPr>
                  </w:pPr>
                  <w:r w:rsidRPr="00C47E40">
                    <w:rPr>
                      <w:lang w:val="en-US"/>
                    </w:rPr>
                    <w:t>Up to 60</w:t>
                  </w:r>
                </w:p>
              </w:tc>
              <w:tc>
                <w:tcPr>
                  <w:tcW w:w="1194" w:type="dxa"/>
                </w:tcPr>
                <w:p w:rsidR="00C47E40" w:rsidRPr="00C47E40" w:rsidRDefault="00C47E40" w:rsidP="00C47E40">
                  <w:pPr>
                    <w:rPr>
                      <w:lang w:val="en-US"/>
                    </w:rPr>
                  </w:pPr>
                  <w:r w:rsidRPr="00C47E40">
                    <w:rPr>
                      <w:lang w:val="en-US"/>
                    </w:rPr>
                    <w:t>60</w:t>
                  </w:r>
                </w:p>
              </w:tc>
              <w:tc>
                <w:tcPr>
                  <w:tcW w:w="1077" w:type="dxa"/>
                </w:tcPr>
                <w:p w:rsidR="00C47E40" w:rsidRPr="00C47E40" w:rsidRDefault="00C47E40" w:rsidP="00C47E40">
                  <w:pPr>
                    <w:rPr>
                      <w:lang w:val="en-US"/>
                    </w:rPr>
                  </w:pPr>
                  <w:r w:rsidRPr="00C47E40">
                    <w:rPr>
                      <w:lang w:val="en-US"/>
                    </w:rPr>
                    <w:t>40</w:t>
                  </w:r>
                </w:p>
              </w:tc>
            </w:tr>
            <w:tr w:rsidR="00C47E40" w:rsidRPr="00C47E40" w:rsidTr="00C47E40">
              <w:tc>
                <w:tcPr>
                  <w:tcW w:w="1461" w:type="dxa"/>
                </w:tcPr>
                <w:p w:rsidR="00C47E40" w:rsidRPr="00C47E40" w:rsidRDefault="00C47E40" w:rsidP="00C47E40">
                  <w:pPr>
                    <w:rPr>
                      <w:lang w:val="en-US"/>
                    </w:rPr>
                  </w:pPr>
                  <w:r w:rsidRPr="00C47E40">
                    <w:rPr>
                      <w:lang w:val="en-US"/>
                    </w:rPr>
                    <w:t>61 – 120</w:t>
                  </w:r>
                </w:p>
              </w:tc>
              <w:tc>
                <w:tcPr>
                  <w:tcW w:w="1194" w:type="dxa"/>
                </w:tcPr>
                <w:p w:rsidR="00C47E40" w:rsidRPr="00C47E40" w:rsidRDefault="00C47E40" w:rsidP="00C47E40">
                  <w:pPr>
                    <w:rPr>
                      <w:lang w:val="en-US"/>
                    </w:rPr>
                  </w:pPr>
                  <w:r w:rsidRPr="00C47E40">
                    <w:rPr>
                      <w:lang w:val="en-US"/>
                    </w:rPr>
                    <w:t>65</w:t>
                  </w:r>
                </w:p>
              </w:tc>
              <w:tc>
                <w:tcPr>
                  <w:tcW w:w="1077" w:type="dxa"/>
                </w:tcPr>
                <w:p w:rsidR="00C47E40" w:rsidRPr="00C47E40" w:rsidRDefault="00C47E40" w:rsidP="00C47E40">
                  <w:pPr>
                    <w:rPr>
                      <w:lang w:val="en-US"/>
                    </w:rPr>
                  </w:pPr>
                  <w:r w:rsidRPr="00C47E40">
                    <w:rPr>
                      <w:lang w:val="en-US"/>
                    </w:rPr>
                    <w:t>35</w:t>
                  </w:r>
                </w:p>
              </w:tc>
            </w:tr>
            <w:tr w:rsidR="00C47E40" w:rsidRPr="00C47E40" w:rsidTr="00C47E40">
              <w:tc>
                <w:tcPr>
                  <w:tcW w:w="1461" w:type="dxa"/>
                </w:tcPr>
                <w:p w:rsidR="00C47E40" w:rsidRPr="00C47E40" w:rsidRDefault="00C47E40" w:rsidP="00C47E40">
                  <w:pPr>
                    <w:rPr>
                      <w:lang w:val="en-US"/>
                    </w:rPr>
                  </w:pPr>
                  <w:r w:rsidRPr="00C47E40">
                    <w:rPr>
                      <w:lang w:val="en-US"/>
                    </w:rPr>
                    <w:t>121 – 300</w:t>
                  </w:r>
                </w:p>
              </w:tc>
              <w:tc>
                <w:tcPr>
                  <w:tcW w:w="1194" w:type="dxa"/>
                </w:tcPr>
                <w:p w:rsidR="00C47E40" w:rsidRPr="00C47E40" w:rsidRDefault="00C47E40" w:rsidP="00C47E40">
                  <w:pPr>
                    <w:rPr>
                      <w:lang w:val="en-US"/>
                    </w:rPr>
                  </w:pPr>
                  <w:r w:rsidRPr="00C47E40">
                    <w:rPr>
                      <w:lang w:val="en-US"/>
                    </w:rPr>
                    <w:t>70</w:t>
                  </w:r>
                </w:p>
              </w:tc>
              <w:tc>
                <w:tcPr>
                  <w:tcW w:w="1077" w:type="dxa"/>
                </w:tcPr>
                <w:p w:rsidR="00C47E40" w:rsidRPr="00C47E40" w:rsidRDefault="00C47E40" w:rsidP="00C47E40">
                  <w:pPr>
                    <w:rPr>
                      <w:lang w:val="en-US"/>
                    </w:rPr>
                  </w:pPr>
                  <w:r w:rsidRPr="00C47E40">
                    <w:rPr>
                      <w:lang w:val="en-US"/>
                    </w:rPr>
                    <w:t>30</w:t>
                  </w:r>
                </w:p>
              </w:tc>
            </w:tr>
            <w:tr w:rsidR="00C47E40" w:rsidRPr="00C47E40" w:rsidTr="00C47E40">
              <w:tc>
                <w:tcPr>
                  <w:tcW w:w="1461" w:type="dxa"/>
                </w:tcPr>
                <w:p w:rsidR="00C47E40" w:rsidRPr="00C47E40" w:rsidRDefault="00C47E40" w:rsidP="00C47E40">
                  <w:pPr>
                    <w:rPr>
                      <w:lang w:val="en-US"/>
                    </w:rPr>
                  </w:pPr>
                  <w:r w:rsidRPr="00C47E40">
                    <w:rPr>
                      <w:lang w:val="en-US"/>
                    </w:rPr>
                    <w:t>301 – 600</w:t>
                  </w:r>
                </w:p>
              </w:tc>
              <w:tc>
                <w:tcPr>
                  <w:tcW w:w="1194" w:type="dxa"/>
                </w:tcPr>
                <w:p w:rsidR="00C47E40" w:rsidRPr="00C47E40" w:rsidRDefault="00C47E40" w:rsidP="00C47E40">
                  <w:pPr>
                    <w:rPr>
                      <w:lang w:val="en-US"/>
                    </w:rPr>
                  </w:pPr>
                  <w:r w:rsidRPr="00C47E40">
                    <w:rPr>
                      <w:lang w:val="en-US"/>
                    </w:rPr>
                    <w:t>80</w:t>
                  </w:r>
                </w:p>
              </w:tc>
              <w:tc>
                <w:tcPr>
                  <w:tcW w:w="1077" w:type="dxa"/>
                </w:tcPr>
                <w:p w:rsidR="00C47E40" w:rsidRPr="00C47E40" w:rsidRDefault="00C47E40" w:rsidP="00C47E40">
                  <w:pPr>
                    <w:rPr>
                      <w:lang w:val="en-US"/>
                    </w:rPr>
                  </w:pPr>
                  <w:r w:rsidRPr="00C47E40">
                    <w:rPr>
                      <w:lang w:val="en-US"/>
                    </w:rPr>
                    <w:t>20</w:t>
                  </w:r>
                </w:p>
              </w:tc>
            </w:tr>
            <w:tr w:rsidR="00C47E40" w:rsidRPr="00C47E40" w:rsidTr="00C47E40">
              <w:tc>
                <w:tcPr>
                  <w:tcW w:w="1461" w:type="dxa"/>
                </w:tcPr>
                <w:p w:rsidR="00C47E40" w:rsidRPr="00C47E40" w:rsidRDefault="00C47E40" w:rsidP="00C47E40">
                  <w:pPr>
                    <w:rPr>
                      <w:lang w:val="en-US"/>
                    </w:rPr>
                  </w:pPr>
                  <w:r w:rsidRPr="00C47E40">
                    <w:rPr>
                      <w:lang w:val="en-US"/>
                    </w:rPr>
                    <w:t>601 – 900</w:t>
                  </w:r>
                </w:p>
              </w:tc>
              <w:tc>
                <w:tcPr>
                  <w:tcW w:w="1194" w:type="dxa"/>
                </w:tcPr>
                <w:p w:rsidR="00C47E40" w:rsidRPr="00C47E40" w:rsidRDefault="00C47E40" w:rsidP="00C47E40">
                  <w:pPr>
                    <w:rPr>
                      <w:lang w:val="en-US"/>
                    </w:rPr>
                  </w:pPr>
                  <w:r w:rsidRPr="00C47E40">
                    <w:rPr>
                      <w:lang w:val="en-US"/>
                    </w:rPr>
                    <w:t>85</w:t>
                  </w:r>
                </w:p>
              </w:tc>
              <w:tc>
                <w:tcPr>
                  <w:tcW w:w="1077" w:type="dxa"/>
                </w:tcPr>
                <w:p w:rsidR="00C47E40" w:rsidRPr="00C47E40" w:rsidRDefault="00C47E40" w:rsidP="00C47E40">
                  <w:pPr>
                    <w:rPr>
                      <w:lang w:val="en-US"/>
                    </w:rPr>
                  </w:pPr>
                  <w:r w:rsidRPr="00C47E40">
                    <w:rPr>
                      <w:lang w:val="en-US"/>
                    </w:rPr>
                    <w:t>15</w:t>
                  </w:r>
                </w:p>
              </w:tc>
            </w:tr>
            <w:tr w:rsidR="00C47E40" w:rsidRPr="00C47E40" w:rsidTr="00C47E40">
              <w:tc>
                <w:tcPr>
                  <w:tcW w:w="1461" w:type="dxa"/>
                </w:tcPr>
                <w:p w:rsidR="00C47E40" w:rsidRPr="00C47E40" w:rsidRDefault="00C47E40" w:rsidP="00C47E40">
                  <w:pPr>
                    <w:rPr>
                      <w:lang w:val="en-US"/>
                    </w:rPr>
                  </w:pPr>
                  <w:r w:rsidRPr="00C47E40">
                    <w:rPr>
                      <w:lang w:val="en-US"/>
                    </w:rPr>
                    <w:t>&gt;900</w:t>
                  </w:r>
                </w:p>
              </w:tc>
              <w:tc>
                <w:tcPr>
                  <w:tcW w:w="1194" w:type="dxa"/>
                </w:tcPr>
                <w:p w:rsidR="00C47E40" w:rsidRPr="00C47E40" w:rsidRDefault="00C47E40" w:rsidP="00C47E40">
                  <w:pPr>
                    <w:rPr>
                      <w:lang w:val="en-US"/>
                    </w:rPr>
                  </w:pPr>
                  <w:r w:rsidRPr="00C47E40">
                    <w:rPr>
                      <w:lang w:val="en-US"/>
                    </w:rPr>
                    <w:t>90</w:t>
                  </w:r>
                </w:p>
              </w:tc>
              <w:tc>
                <w:tcPr>
                  <w:tcW w:w="1077" w:type="dxa"/>
                </w:tcPr>
                <w:p w:rsidR="00C47E40" w:rsidRPr="00C47E40" w:rsidRDefault="00C47E40" w:rsidP="00C47E40">
                  <w:pPr>
                    <w:rPr>
                      <w:lang w:val="en-US"/>
                    </w:rPr>
                  </w:pPr>
                  <w:r w:rsidRPr="00C47E40">
                    <w:rPr>
                      <w:lang w:val="en-US"/>
                    </w:rPr>
                    <w:t>10</w:t>
                  </w:r>
                </w:p>
              </w:tc>
            </w:tr>
            <w:tr w:rsidR="00C47E40" w:rsidRPr="00C47E40" w:rsidTr="00C47E40">
              <w:tc>
                <w:tcPr>
                  <w:tcW w:w="1461" w:type="dxa"/>
                </w:tcPr>
                <w:p w:rsidR="00C47E40" w:rsidRPr="00C47E40" w:rsidRDefault="00C47E40" w:rsidP="00C47E40">
                  <w:pPr>
                    <w:rPr>
                      <w:lang w:val="en-US"/>
                    </w:rPr>
                  </w:pPr>
                </w:p>
              </w:tc>
              <w:tc>
                <w:tcPr>
                  <w:tcW w:w="1194" w:type="dxa"/>
                </w:tcPr>
                <w:p w:rsidR="00C47E40" w:rsidRPr="00C47E40" w:rsidRDefault="00C47E40" w:rsidP="00C47E40">
                  <w:pPr>
                    <w:rPr>
                      <w:lang w:val="en-US"/>
                    </w:rPr>
                  </w:pPr>
                </w:p>
              </w:tc>
              <w:tc>
                <w:tcPr>
                  <w:tcW w:w="1077" w:type="dxa"/>
                </w:tcPr>
                <w:p w:rsidR="00C47E40" w:rsidRPr="00C47E40" w:rsidRDefault="00C47E40" w:rsidP="00C47E40">
                  <w:pPr>
                    <w:rPr>
                      <w:lang w:val="en-US"/>
                    </w:rPr>
                  </w:pPr>
                </w:p>
              </w:tc>
            </w:tr>
          </w:tbl>
          <w:p w:rsidR="00C47E40" w:rsidRPr="00C47E40" w:rsidRDefault="00C47E40" w:rsidP="00C47E40">
            <w:pPr>
              <w:rPr>
                <w:rFonts w:ascii="Times New Roman" w:hAnsi="Times New Roman" w:cs="Times New Roman"/>
                <w:b/>
                <w:u w:val="single"/>
                <w:lang w:val="en-US"/>
              </w:rPr>
            </w:pPr>
          </w:p>
        </w:tc>
      </w:tr>
    </w:tbl>
    <w:p w:rsidR="00F06F33" w:rsidRPr="00F06F33" w:rsidRDefault="00F06F33" w:rsidP="00DD470D">
      <w:pPr>
        <w:ind w:left="750"/>
        <w:jc w:val="both"/>
        <w:rPr>
          <w:bCs/>
          <w:lang w:val="en-US"/>
        </w:rPr>
      </w:pPr>
    </w:p>
    <w:p w:rsidR="002834EE" w:rsidRPr="00F06F33" w:rsidRDefault="002834EE" w:rsidP="002834EE">
      <w:pPr>
        <w:ind w:left="737"/>
        <w:jc w:val="both"/>
        <w:rPr>
          <w:bCs/>
          <w:i/>
          <w:lang w:val="en-US"/>
        </w:rPr>
      </w:pPr>
      <w:r>
        <w:rPr>
          <w:bCs/>
          <w:i/>
          <w:lang w:val="en-US"/>
        </w:rPr>
        <w:t>Entitlement in cash or kind</w:t>
      </w:r>
    </w:p>
    <w:p w:rsidR="002834EE" w:rsidRPr="00F06F33" w:rsidRDefault="002834EE" w:rsidP="002834EE">
      <w:pPr>
        <w:ind w:left="737"/>
        <w:jc w:val="both"/>
        <w:rPr>
          <w:bCs/>
          <w:i/>
          <w:lang w:val="en-US"/>
        </w:rPr>
      </w:pPr>
    </w:p>
    <w:p w:rsidR="00F06F33" w:rsidRPr="002834EE" w:rsidRDefault="00F06F33" w:rsidP="002834EE">
      <w:pPr>
        <w:numPr>
          <w:ilvl w:val="1"/>
          <w:numId w:val="29"/>
        </w:numPr>
        <w:ind w:hanging="750"/>
        <w:jc w:val="both"/>
        <w:rPr>
          <w:bCs/>
          <w:lang w:val="en-US"/>
        </w:rPr>
      </w:pPr>
      <w:r w:rsidRPr="002834EE">
        <w:rPr>
          <w:bCs/>
        </w:rPr>
        <w:t xml:space="preserve">There is no provision giving the Government the option to </w:t>
      </w:r>
      <w:r w:rsidRPr="002834EE">
        <w:rPr>
          <w:bCs/>
          <w:lang w:val="en-US"/>
        </w:rPr>
        <w:t>take its entitlement to Profit Petroleum in cash or in kind (in contrast to royalty payments under section 10</w:t>
      </w:r>
      <w:r w:rsidR="002834EE" w:rsidRPr="002834EE">
        <w:rPr>
          <w:bCs/>
          <w:lang w:val="en-US"/>
        </w:rPr>
        <w:t xml:space="preserve"> of the Myanmar PSC</w:t>
      </w:r>
      <w:r w:rsidRPr="002834EE">
        <w:rPr>
          <w:bCs/>
          <w:lang w:val="en-US"/>
        </w:rPr>
        <w:t>).</w:t>
      </w:r>
    </w:p>
    <w:p w:rsidR="00F06F33" w:rsidRPr="00F06F33" w:rsidRDefault="00F06F33" w:rsidP="00DD470D">
      <w:pPr>
        <w:ind w:left="750"/>
        <w:jc w:val="both"/>
        <w:rPr>
          <w:bCs/>
          <w:lang w:val="en-US"/>
        </w:rPr>
      </w:pPr>
    </w:p>
    <w:p w:rsidR="00F06F33" w:rsidRPr="00F06F33" w:rsidRDefault="00F06F33" w:rsidP="002834EE">
      <w:pPr>
        <w:ind w:left="737"/>
        <w:jc w:val="both"/>
        <w:rPr>
          <w:bCs/>
          <w:i/>
          <w:lang w:val="en-US"/>
        </w:rPr>
      </w:pPr>
      <w:r w:rsidRPr="00F06F33">
        <w:rPr>
          <w:bCs/>
          <w:i/>
          <w:lang w:val="en-US"/>
        </w:rPr>
        <w:t>Accounting period</w:t>
      </w:r>
    </w:p>
    <w:p w:rsidR="00F06F33" w:rsidRPr="00F06F33" w:rsidRDefault="00F06F33" w:rsidP="002834EE">
      <w:pPr>
        <w:ind w:left="737"/>
        <w:jc w:val="both"/>
        <w:rPr>
          <w:bCs/>
          <w:i/>
          <w:lang w:val="en-US"/>
        </w:rPr>
      </w:pPr>
    </w:p>
    <w:p w:rsidR="00F06F33" w:rsidRPr="00F06F33" w:rsidRDefault="00DD470D" w:rsidP="00F06F33">
      <w:pPr>
        <w:numPr>
          <w:ilvl w:val="1"/>
          <w:numId w:val="29"/>
        </w:numPr>
        <w:ind w:hanging="750"/>
        <w:jc w:val="both"/>
        <w:rPr>
          <w:bCs/>
          <w:lang w:val="en-US"/>
        </w:rPr>
      </w:pPr>
      <w:r>
        <w:rPr>
          <w:bCs/>
          <w:lang w:val="en-US"/>
        </w:rPr>
        <w:t xml:space="preserve">Note that the “accounting period” for </w:t>
      </w:r>
      <w:r w:rsidR="00F06F33" w:rsidRPr="00F06F33">
        <w:rPr>
          <w:bCs/>
          <w:lang w:val="en-US"/>
        </w:rPr>
        <w:t>profit allocation under section 9</w:t>
      </w:r>
      <w:r>
        <w:rPr>
          <w:bCs/>
          <w:lang w:val="en-US"/>
        </w:rPr>
        <w:t xml:space="preserve">, </w:t>
      </w:r>
      <w:r w:rsidR="00F06F33" w:rsidRPr="00F06F33">
        <w:rPr>
          <w:bCs/>
          <w:lang w:val="en-US"/>
        </w:rPr>
        <w:t>both for measuring and splitting Profit Petroleum and for calcul</w:t>
      </w:r>
      <w:r>
        <w:rPr>
          <w:bCs/>
          <w:lang w:val="en-US"/>
        </w:rPr>
        <w:t xml:space="preserve">ating average daily is quarterly (see section 2.3 of the </w:t>
      </w:r>
      <w:r w:rsidR="002834EE">
        <w:rPr>
          <w:bCs/>
          <w:lang w:val="en-US"/>
        </w:rPr>
        <w:t xml:space="preserve">Myanmar </w:t>
      </w:r>
      <w:r>
        <w:rPr>
          <w:bCs/>
          <w:lang w:val="en-US"/>
        </w:rPr>
        <w:t xml:space="preserve">PSC).  </w:t>
      </w:r>
    </w:p>
    <w:p w:rsidR="00F06F33" w:rsidRPr="00F06F33" w:rsidRDefault="00F06F33" w:rsidP="002834EE">
      <w:pPr>
        <w:ind w:left="737"/>
        <w:jc w:val="both"/>
        <w:rPr>
          <w:bCs/>
          <w:i/>
          <w:lang w:val="en-US"/>
        </w:rPr>
      </w:pPr>
    </w:p>
    <w:p w:rsidR="00F06F33" w:rsidRPr="00F06F33" w:rsidRDefault="00F06F33" w:rsidP="002834EE">
      <w:pPr>
        <w:ind w:left="737"/>
        <w:jc w:val="both"/>
        <w:rPr>
          <w:bCs/>
          <w:i/>
          <w:lang w:val="en-US"/>
        </w:rPr>
      </w:pPr>
      <w:r w:rsidRPr="00F06F33">
        <w:rPr>
          <w:bCs/>
          <w:i/>
          <w:lang w:val="en-US"/>
        </w:rPr>
        <w:t>Export and sale of petroleum</w:t>
      </w:r>
    </w:p>
    <w:p w:rsidR="00F06F33" w:rsidRPr="00F06F33" w:rsidRDefault="00F06F33" w:rsidP="002834EE">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Although section 9.8(a) </w:t>
      </w:r>
      <w:r w:rsidR="002834EE">
        <w:rPr>
          <w:bCs/>
          <w:lang w:val="en-US"/>
        </w:rPr>
        <w:t xml:space="preserve">of the Myanmar PSC </w:t>
      </w:r>
      <w:r w:rsidRPr="00F06F33">
        <w:rPr>
          <w:bCs/>
          <w:lang w:val="en-US"/>
        </w:rPr>
        <w:t xml:space="preserve">provides that Contractor can “separately dispose” of its Cost Petroleum and its share of Profit Petroleum, </w:t>
      </w:r>
      <w:r w:rsidR="00282AE2">
        <w:t>Contractor</w:t>
      </w:r>
      <w:r w:rsidR="00282AE2" w:rsidRPr="00F06F33">
        <w:rPr>
          <w:bCs/>
          <w:lang w:val="en-US"/>
        </w:rPr>
        <w:t xml:space="preserve"> </w:t>
      </w:r>
      <w:r w:rsidRPr="00F06F33">
        <w:rPr>
          <w:bCs/>
          <w:lang w:val="en-US"/>
        </w:rPr>
        <w:t>may wish to clarify here that Contractor may freely export its petroleum and retain abroad any proceeds from sale of all such petroleum (</w:t>
      </w:r>
      <w:r w:rsidR="002834EE">
        <w:rPr>
          <w:bCs/>
          <w:lang w:val="en-US"/>
        </w:rPr>
        <w:t>similar express rights are contained in the Kurdistan and Tanzania PSCs)</w:t>
      </w:r>
      <w:r w:rsidRPr="00F06F33">
        <w:rPr>
          <w:bCs/>
          <w:lang w:val="en-US"/>
        </w:rPr>
        <w:t>.</w:t>
      </w:r>
    </w:p>
    <w:p w:rsidR="00F06F33" w:rsidRPr="00F06F33" w:rsidRDefault="00F06F33" w:rsidP="002834EE">
      <w:pPr>
        <w:ind w:left="737"/>
        <w:jc w:val="both"/>
        <w:rPr>
          <w:bCs/>
          <w:i/>
          <w:lang w:val="en-US"/>
        </w:rPr>
      </w:pPr>
    </w:p>
    <w:p w:rsidR="00F06F33" w:rsidRPr="00F06F33" w:rsidRDefault="00F06F33" w:rsidP="002834EE">
      <w:pPr>
        <w:ind w:left="737"/>
        <w:jc w:val="both"/>
        <w:rPr>
          <w:bCs/>
          <w:i/>
          <w:lang w:val="en-US"/>
        </w:rPr>
      </w:pPr>
      <w:r w:rsidRPr="00F06F33">
        <w:rPr>
          <w:bCs/>
          <w:i/>
          <w:lang w:val="en-US"/>
        </w:rPr>
        <w:t>Lifting costs</w:t>
      </w:r>
    </w:p>
    <w:p w:rsidR="00F06F33" w:rsidRPr="00F06F33" w:rsidRDefault="00F06F33" w:rsidP="002834EE">
      <w:pPr>
        <w:ind w:left="737"/>
        <w:jc w:val="both"/>
        <w:rPr>
          <w:bCs/>
          <w:lang w:val="en-US"/>
        </w:rPr>
      </w:pPr>
    </w:p>
    <w:p w:rsidR="00F06F33" w:rsidRPr="00F06F33" w:rsidRDefault="00282AE2" w:rsidP="00F06F33">
      <w:pPr>
        <w:numPr>
          <w:ilvl w:val="1"/>
          <w:numId w:val="29"/>
        </w:numPr>
        <w:ind w:hanging="750"/>
        <w:jc w:val="both"/>
        <w:rPr>
          <w:bCs/>
        </w:rPr>
      </w:pPr>
      <w:r>
        <w:t>Contractor</w:t>
      </w:r>
      <w:r w:rsidRPr="00F06F33">
        <w:rPr>
          <w:bCs/>
          <w:lang w:val="en-US"/>
        </w:rPr>
        <w:t xml:space="preserve"> </w:t>
      </w:r>
      <w:r w:rsidR="00F06F33" w:rsidRPr="00F06F33">
        <w:rPr>
          <w:bCs/>
          <w:lang w:val="en-US"/>
        </w:rPr>
        <w:t xml:space="preserve">may wish to clarify </w:t>
      </w:r>
      <w:r w:rsidR="00946B73">
        <w:rPr>
          <w:bCs/>
          <w:lang w:val="en-US"/>
        </w:rPr>
        <w:t>whether the</w:t>
      </w:r>
      <w:r w:rsidR="00F06F33" w:rsidRPr="00F06F33">
        <w:rPr>
          <w:bCs/>
          <w:lang w:val="en-US"/>
        </w:rPr>
        <w:t xml:space="preserve"> costs or expenditure incurred relating to the lifting of the Government’s share of petroleum by the Contractor </w:t>
      </w:r>
      <w:r w:rsidR="00946B73">
        <w:rPr>
          <w:bCs/>
          <w:lang w:val="en-US"/>
        </w:rPr>
        <w:t>are</w:t>
      </w:r>
      <w:r w:rsidR="00F06F33" w:rsidRPr="00F06F33">
        <w:rPr>
          <w:bCs/>
          <w:lang w:val="en-US"/>
        </w:rPr>
        <w:t xml:space="preserve"> recoverable </w:t>
      </w:r>
      <w:r w:rsidR="00946B73">
        <w:rPr>
          <w:bCs/>
          <w:lang w:val="en-US"/>
        </w:rPr>
        <w:t xml:space="preserve">by the Contractor under the PSC cost recovery mechanism, </w:t>
      </w:r>
      <w:r w:rsidR="00F06F33" w:rsidRPr="00F06F33">
        <w:rPr>
          <w:bCs/>
          <w:lang w:val="en-US"/>
        </w:rPr>
        <w:t xml:space="preserve">or whether </w:t>
      </w:r>
      <w:r w:rsidR="00946B73">
        <w:rPr>
          <w:bCs/>
          <w:lang w:val="en-US"/>
        </w:rPr>
        <w:t xml:space="preserve">such costs and expenses </w:t>
      </w:r>
      <w:r w:rsidR="00F06F33" w:rsidRPr="00F06F33">
        <w:rPr>
          <w:bCs/>
          <w:lang w:val="en-US"/>
        </w:rPr>
        <w:t xml:space="preserve">will be charged to the Government on agreed terms (see </w:t>
      </w:r>
      <w:r w:rsidR="00946B73">
        <w:rPr>
          <w:bCs/>
          <w:lang w:val="en-US"/>
        </w:rPr>
        <w:t xml:space="preserve">the Kurdistan PSC </w:t>
      </w:r>
      <w:r w:rsidR="00F06F33" w:rsidRPr="00F06F33">
        <w:rPr>
          <w:bCs/>
          <w:lang w:val="en-US"/>
        </w:rPr>
        <w:t xml:space="preserve">for an example of the latter approach). </w:t>
      </w:r>
    </w:p>
    <w:p w:rsidR="00F06F33" w:rsidRPr="00F06F33" w:rsidRDefault="00F06F33" w:rsidP="00946B73">
      <w:pPr>
        <w:ind w:left="737"/>
        <w:jc w:val="both"/>
        <w:rPr>
          <w:bCs/>
        </w:rPr>
      </w:pPr>
    </w:p>
    <w:p w:rsidR="00A4357B" w:rsidRPr="00A4357B" w:rsidRDefault="00A4357B" w:rsidP="008F715F">
      <w:pPr>
        <w:numPr>
          <w:ilvl w:val="0"/>
          <w:numId w:val="29"/>
        </w:numPr>
        <w:jc w:val="both"/>
        <w:rPr>
          <w:b/>
          <w:bCs/>
        </w:rPr>
      </w:pPr>
      <w:r w:rsidRPr="00A4357B">
        <w:rPr>
          <w:b/>
          <w:bCs/>
        </w:rPr>
        <w:lastRenderedPageBreak/>
        <w:t>Royalty</w:t>
      </w:r>
      <w:r w:rsidR="008F715F">
        <w:rPr>
          <w:b/>
          <w:bCs/>
        </w:rPr>
        <w:t xml:space="preserve"> (section 10)</w:t>
      </w:r>
    </w:p>
    <w:p w:rsidR="00A4357B" w:rsidRDefault="00A4357B" w:rsidP="008F715F">
      <w:pPr>
        <w:ind w:left="737"/>
        <w:jc w:val="both"/>
        <w:rPr>
          <w:bCs/>
          <w:lang w:val="en-US"/>
        </w:rPr>
      </w:pPr>
    </w:p>
    <w:p w:rsidR="00A4357B" w:rsidRPr="008F715F" w:rsidRDefault="008F715F" w:rsidP="008F715F">
      <w:pPr>
        <w:numPr>
          <w:ilvl w:val="1"/>
          <w:numId w:val="29"/>
        </w:numPr>
        <w:ind w:hanging="750"/>
        <w:jc w:val="both"/>
        <w:rPr>
          <w:bCs/>
          <w:lang w:val="en-US"/>
        </w:rPr>
      </w:pPr>
      <w:r w:rsidRPr="008F715F">
        <w:rPr>
          <w:bCs/>
          <w:lang w:val="en-US"/>
        </w:rPr>
        <w:t xml:space="preserve">Royalty is payable at the rate of </w:t>
      </w:r>
      <w:r w:rsidRPr="008F715F">
        <w:rPr>
          <w:rFonts w:hint="eastAsia"/>
          <w:bCs/>
          <w:lang w:val="en-US"/>
        </w:rPr>
        <w:t xml:space="preserve">12.5% of </w:t>
      </w:r>
      <w:r w:rsidRPr="008F715F">
        <w:rPr>
          <w:bCs/>
          <w:lang w:val="en-US"/>
        </w:rPr>
        <w:t>“A</w:t>
      </w:r>
      <w:r w:rsidRPr="008F715F">
        <w:rPr>
          <w:rFonts w:hint="eastAsia"/>
          <w:bCs/>
          <w:lang w:val="en-US"/>
        </w:rPr>
        <w:t>vailable Petroleum</w:t>
      </w:r>
      <w:r w:rsidRPr="008F715F">
        <w:rPr>
          <w:bCs/>
          <w:lang w:val="en-US"/>
        </w:rPr>
        <w:t xml:space="preserve">” (i.e. </w:t>
      </w:r>
      <w:r w:rsidRPr="008F715F">
        <w:rPr>
          <w:rFonts w:hint="eastAsia"/>
          <w:bCs/>
          <w:lang w:val="en-US"/>
        </w:rPr>
        <w:t xml:space="preserve">petroleum produced and saved and not used in Petroleum </w:t>
      </w:r>
      <w:r w:rsidRPr="008F715F">
        <w:rPr>
          <w:bCs/>
          <w:lang w:val="en-US"/>
        </w:rPr>
        <w:t>O</w:t>
      </w:r>
      <w:r w:rsidRPr="008F715F">
        <w:rPr>
          <w:rFonts w:hint="eastAsia"/>
          <w:bCs/>
          <w:lang w:val="en-US"/>
        </w:rPr>
        <w:t>perations</w:t>
      </w:r>
      <w:r w:rsidRPr="008F715F">
        <w:rPr>
          <w:bCs/>
          <w:lang w:val="en-US"/>
        </w:rPr>
        <w:t xml:space="preserve">). </w:t>
      </w:r>
      <w:r w:rsidRPr="008F715F">
        <w:rPr>
          <w:bCs/>
        </w:rPr>
        <w:t xml:space="preserve">Please refer to the PSC Comparison Table for some examples of </w:t>
      </w:r>
      <w:r>
        <w:rPr>
          <w:bCs/>
        </w:rPr>
        <w:t xml:space="preserve">royalty payments </w:t>
      </w:r>
      <w:r w:rsidRPr="008F715F">
        <w:rPr>
          <w:bCs/>
        </w:rPr>
        <w:t>in third country PSCs.</w:t>
      </w:r>
      <w:r>
        <w:rPr>
          <w:bCs/>
          <w:lang w:val="en-US"/>
        </w:rPr>
        <w:t xml:space="preserve"> Although the royalty provision is broadly acceptable, w</w:t>
      </w:r>
      <w:r w:rsidRPr="008F715F">
        <w:rPr>
          <w:bCs/>
          <w:lang w:val="en-US"/>
        </w:rPr>
        <w:t xml:space="preserve">e suggest below certain </w:t>
      </w:r>
      <w:r w:rsidR="00A4357B" w:rsidRPr="008F715F">
        <w:rPr>
          <w:bCs/>
          <w:lang w:val="en-US"/>
        </w:rPr>
        <w:t xml:space="preserve">amendments and improvements </w:t>
      </w:r>
      <w:r w:rsidRPr="008F715F">
        <w:rPr>
          <w:bCs/>
          <w:lang w:val="en-US"/>
        </w:rPr>
        <w:t>to the royalty provision that</w:t>
      </w:r>
      <w:r w:rsidR="00282AE2" w:rsidRPr="00282AE2">
        <w:t xml:space="preserve"> </w:t>
      </w:r>
      <w:r w:rsidR="00282AE2">
        <w:t>Contractor</w:t>
      </w:r>
      <w:r w:rsidRPr="008F715F">
        <w:rPr>
          <w:bCs/>
          <w:lang w:val="en-US"/>
        </w:rPr>
        <w:t xml:space="preserve"> </w:t>
      </w:r>
      <w:r w:rsidR="00A4357B" w:rsidRPr="008F715F">
        <w:rPr>
          <w:bCs/>
          <w:lang w:val="en-US"/>
        </w:rPr>
        <w:t>may w</w:t>
      </w:r>
      <w:r w:rsidRPr="008F715F">
        <w:rPr>
          <w:bCs/>
          <w:lang w:val="en-US"/>
        </w:rPr>
        <w:t xml:space="preserve">ish to consider. </w:t>
      </w:r>
    </w:p>
    <w:p w:rsidR="008F715F" w:rsidRDefault="008F715F" w:rsidP="008F715F">
      <w:pPr>
        <w:ind w:left="737"/>
        <w:jc w:val="both"/>
        <w:rPr>
          <w:bCs/>
          <w:lang w:val="en-US"/>
        </w:rPr>
      </w:pPr>
    </w:p>
    <w:p w:rsidR="00A4357B" w:rsidRPr="008F715F" w:rsidRDefault="008F715F" w:rsidP="008F715F">
      <w:pPr>
        <w:ind w:left="737"/>
        <w:jc w:val="both"/>
        <w:rPr>
          <w:bCs/>
          <w:i/>
          <w:lang w:val="en-US"/>
        </w:rPr>
      </w:pPr>
      <w:r>
        <w:rPr>
          <w:bCs/>
          <w:i/>
          <w:lang w:val="en-US"/>
        </w:rPr>
        <w:t>Royalty n</w:t>
      </w:r>
      <w:r w:rsidR="00A4357B" w:rsidRPr="008F715F">
        <w:rPr>
          <w:bCs/>
          <w:i/>
          <w:lang w:val="en-US"/>
        </w:rPr>
        <w:t xml:space="preserve">ot </w:t>
      </w:r>
      <w:r>
        <w:rPr>
          <w:bCs/>
          <w:i/>
          <w:lang w:val="en-US"/>
        </w:rPr>
        <w:t>r</w:t>
      </w:r>
      <w:r w:rsidR="00A4357B" w:rsidRPr="008F715F">
        <w:rPr>
          <w:bCs/>
          <w:i/>
          <w:lang w:val="en-US"/>
        </w:rPr>
        <w:t xml:space="preserve">ecoverable </w:t>
      </w:r>
    </w:p>
    <w:p w:rsidR="008F715F" w:rsidRDefault="008F715F" w:rsidP="008F715F">
      <w:pPr>
        <w:ind w:left="737"/>
        <w:jc w:val="both"/>
        <w:rPr>
          <w:bCs/>
          <w:lang w:val="en-US"/>
        </w:rPr>
      </w:pPr>
    </w:p>
    <w:p w:rsidR="00A4357B" w:rsidRPr="00CD7E3C" w:rsidRDefault="00A4357B" w:rsidP="00CD7E3C">
      <w:pPr>
        <w:numPr>
          <w:ilvl w:val="1"/>
          <w:numId w:val="29"/>
        </w:numPr>
        <w:ind w:hanging="750"/>
        <w:jc w:val="both"/>
        <w:rPr>
          <w:bCs/>
          <w:lang w:val="en-US"/>
        </w:rPr>
      </w:pPr>
      <w:r w:rsidRPr="00CD7E3C">
        <w:rPr>
          <w:bCs/>
          <w:lang w:val="en-US"/>
        </w:rPr>
        <w:t xml:space="preserve">The Myanmar PSC states </w:t>
      </w:r>
      <w:r w:rsidR="008F715F" w:rsidRPr="00CD7E3C">
        <w:rPr>
          <w:bCs/>
          <w:lang w:val="en-US"/>
        </w:rPr>
        <w:t xml:space="preserve">that the </w:t>
      </w:r>
      <w:r w:rsidRPr="00CD7E3C">
        <w:rPr>
          <w:bCs/>
          <w:lang w:val="en-US"/>
        </w:rPr>
        <w:t xml:space="preserve">royalty is not </w:t>
      </w:r>
      <w:r w:rsidRPr="00CD7E3C">
        <w:rPr>
          <w:rFonts w:hint="eastAsia"/>
          <w:bCs/>
          <w:lang w:val="en-US"/>
        </w:rPr>
        <w:t>recoverable from Cost Petroleum</w:t>
      </w:r>
      <w:r w:rsidRPr="00CD7E3C">
        <w:rPr>
          <w:bCs/>
          <w:lang w:val="en-US"/>
        </w:rPr>
        <w:t xml:space="preserve">. </w:t>
      </w:r>
      <w:r w:rsidR="00CD7E3C" w:rsidRPr="00CD7E3C">
        <w:rPr>
          <w:bCs/>
          <w:lang w:val="en-US"/>
        </w:rPr>
        <w:t xml:space="preserve">The India PSC provides an example of the alternative approach, stating that the contractor is </w:t>
      </w:r>
      <w:r w:rsidRPr="00CD7E3C">
        <w:rPr>
          <w:bCs/>
          <w:lang w:val="en-US"/>
        </w:rPr>
        <w:t xml:space="preserve">entitled to recover in full </w:t>
      </w:r>
      <w:r w:rsidR="00CD7E3C" w:rsidRPr="00CD7E3C">
        <w:rPr>
          <w:bCs/>
          <w:lang w:val="en-US"/>
        </w:rPr>
        <w:t>any</w:t>
      </w:r>
      <w:r w:rsidRPr="00CD7E3C">
        <w:rPr>
          <w:bCs/>
          <w:lang w:val="en-US"/>
        </w:rPr>
        <w:t xml:space="preserve"> royalty payments </w:t>
      </w:r>
      <w:r w:rsidR="00CD7E3C" w:rsidRPr="00CD7E3C">
        <w:rPr>
          <w:bCs/>
          <w:lang w:val="en-US"/>
        </w:rPr>
        <w:t>out of c</w:t>
      </w:r>
      <w:r w:rsidRPr="00CD7E3C">
        <w:rPr>
          <w:bCs/>
          <w:lang w:val="en-US"/>
        </w:rPr>
        <w:t xml:space="preserve">ost </w:t>
      </w:r>
      <w:r w:rsidR="00CD7E3C" w:rsidRPr="00CD7E3C">
        <w:rPr>
          <w:bCs/>
          <w:lang w:val="en-US"/>
        </w:rPr>
        <w:t>p</w:t>
      </w:r>
      <w:r w:rsidRPr="00CD7E3C">
        <w:rPr>
          <w:bCs/>
          <w:lang w:val="en-US"/>
        </w:rPr>
        <w:t xml:space="preserve">etroleum. </w:t>
      </w:r>
    </w:p>
    <w:p w:rsidR="00CD7E3C" w:rsidRDefault="00CD7E3C" w:rsidP="00CD7E3C">
      <w:pPr>
        <w:ind w:left="737"/>
        <w:jc w:val="both"/>
        <w:rPr>
          <w:bCs/>
          <w:i/>
          <w:lang w:val="en-US"/>
        </w:rPr>
      </w:pPr>
    </w:p>
    <w:p w:rsidR="00A4357B" w:rsidRPr="00CD7E3C" w:rsidRDefault="00A4357B" w:rsidP="00CD7E3C">
      <w:pPr>
        <w:ind w:left="737"/>
        <w:jc w:val="both"/>
        <w:rPr>
          <w:bCs/>
          <w:i/>
          <w:lang w:val="en-US"/>
        </w:rPr>
      </w:pPr>
      <w:r w:rsidRPr="00CD7E3C">
        <w:rPr>
          <w:bCs/>
          <w:i/>
          <w:lang w:val="en-US"/>
        </w:rPr>
        <w:t>Accounting period</w:t>
      </w:r>
    </w:p>
    <w:p w:rsidR="00A4357B" w:rsidRPr="00A4357B" w:rsidRDefault="00A4357B" w:rsidP="00CD7E3C">
      <w:pPr>
        <w:ind w:left="737"/>
        <w:jc w:val="both"/>
        <w:rPr>
          <w:bCs/>
          <w:lang w:val="en-US"/>
        </w:rPr>
      </w:pPr>
    </w:p>
    <w:p w:rsidR="00CD7E3C" w:rsidRPr="00CD7E3C" w:rsidRDefault="00282AE2" w:rsidP="00CD7E3C">
      <w:pPr>
        <w:numPr>
          <w:ilvl w:val="1"/>
          <w:numId w:val="29"/>
        </w:numPr>
        <w:ind w:hanging="750"/>
        <w:jc w:val="both"/>
        <w:rPr>
          <w:bCs/>
          <w:lang w:val="en-US"/>
        </w:rPr>
      </w:pPr>
      <w:r>
        <w:t>Contractor</w:t>
      </w:r>
      <w:r>
        <w:rPr>
          <w:bCs/>
          <w:lang w:val="en-US"/>
        </w:rPr>
        <w:t xml:space="preserve"> </w:t>
      </w:r>
      <w:r w:rsidR="00CD7E3C">
        <w:rPr>
          <w:bCs/>
          <w:lang w:val="en-US"/>
        </w:rPr>
        <w:t>may wish to clarify the meaning of “</w:t>
      </w:r>
      <w:r w:rsidR="00A4357B" w:rsidRPr="00A4357B">
        <w:rPr>
          <w:bCs/>
          <w:lang w:val="en-US"/>
        </w:rPr>
        <w:t>accounting period</w:t>
      </w:r>
      <w:r w:rsidR="00CD7E3C">
        <w:rPr>
          <w:bCs/>
          <w:lang w:val="en-US"/>
        </w:rPr>
        <w:t xml:space="preserve">” as used in section 10.2 (which provides that the royalty </w:t>
      </w:r>
      <w:r w:rsidR="00A4357B" w:rsidRPr="00A4357B">
        <w:rPr>
          <w:rFonts w:hint="eastAsia"/>
          <w:bCs/>
          <w:lang w:val="en-US"/>
        </w:rPr>
        <w:t xml:space="preserve">accruing during an accounting period </w:t>
      </w:r>
      <w:r w:rsidR="00CD7E3C">
        <w:rPr>
          <w:bCs/>
          <w:lang w:val="en-US"/>
        </w:rPr>
        <w:t xml:space="preserve">must be paid within 30 days </w:t>
      </w:r>
      <w:r w:rsidR="00A4357B" w:rsidRPr="00A4357B">
        <w:rPr>
          <w:rFonts w:hint="eastAsia"/>
          <w:bCs/>
          <w:lang w:val="en-US"/>
        </w:rPr>
        <w:t>after the end of that accounting period</w:t>
      </w:r>
      <w:r w:rsidR="00CD7E3C">
        <w:rPr>
          <w:bCs/>
          <w:lang w:val="en-US"/>
        </w:rPr>
        <w:t>)</w:t>
      </w:r>
      <w:r w:rsidR="00A4357B" w:rsidRPr="00A4357B">
        <w:rPr>
          <w:rFonts w:hint="eastAsia"/>
          <w:bCs/>
          <w:lang w:val="en-US"/>
        </w:rPr>
        <w:t>.</w:t>
      </w:r>
      <w:r w:rsidR="00CD7E3C">
        <w:rPr>
          <w:bCs/>
          <w:lang w:val="en-US"/>
        </w:rPr>
        <w:t xml:space="preserve"> We assume such period is also each quarter (</w:t>
      </w:r>
      <w:r w:rsidR="007C10D9">
        <w:rPr>
          <w:bCs/>
          <w:lang w:val="en-US"/>
        </w:rPr>
        <w:t xml:space="preserve">as is the case for profit allocation under sections 2.3 and 9 of the Myanmar PSC). </w:t>
      </w:r>
    </w:p>
    <w:p w:rsidR="00946B73" w:rsidRPr="00A4357B" w:rsidRDefault="00946B73" w:rsidP="007C10D9">
      <w:pPr>
        <w:ind w:left="737"/>
        <w:jc w:val="both"/>
        <w:rPr>
          <w:bCs/>
        </w:rPr>
      </w:pPr>
    </w:p>
    <w:p w:rsidR="00F06F33" w:rsidRPr="00F06F33" w:rsidRDefault="00F06F33" w:rsidP="007C10D9">
      <w:pPr>
        <w:numPr>
          <w:ilvl w:val="0"/>
          <w:numId w:val="29"/>
        </w:numPr>
        <w:jc w:val="both"/>
        <w:rPr>
          <w:b/>
          <w:bCs/>
        </w:rPr>
      </w:pPr>
      <w:r w:rsidRPr="00F06F33">
        <w:rPr>
          <w:b/>
          <w:bCs/>
        </w:rPr>
        <w:t>Bonuses</w:t>
      </w:r>
      <w:r w:rsidR="007C10D9">
        <w:rPr>
          <w:b/>
          <w:bCs/>
        </w:rPr>
        <w:t xml:space="preserve"> (section 11)</w:t>
      </w:r>
    </w:p>
    <w:p w:rsidR="00F06F33" w:rsidRPr="00F06F33" w:rsidRDefault="00F06F33" w:rsidP="007C10D9">
      <w:pPr>
        <w:ind w:left="737"/>
        <w:jc w:val="both"/>
        <w:rPr>
          <w:bCs/>
        </w:rPr>
      </w:pPr>
    </w:p>
    <w:p w:rsidR="00F06F33" w:rsidRPr="00F06F33" w:rsidRDefault="00F06F33" w:rsidP="007C10D9">
      <w:pPr>
        <w:ind w:left="737"/>
        <w:jc w:val="both"/>
        <w:rPr>
          <w:bCs/>
          <w:i/>
        </w:rPr>
      </w:pPr>
      <w:r w:rsidRPr="00F06F33">
        <w:rPr>
          <w:bCs/>
          <w:i/>
        </w:rPr>
        <w:t>Signature bonus</w:t>
      </w:r>
    </w:p>
    <w:p w:rsidR="00F06F33" w:rsidRPr="00F06F33" w:rsidRDefault="00F06F33" w:rsidP="007C10D9">
      <w:pPr>
        <w:ind w:left="737"/>
        <w:jc w:val="both"/>
        <w:rPr>
          <w:bCs/>
          <w:i/>
        </w:rPr>
      </w:pPr>
    </w:p>
    <w:p w:rsidR="00F06F33" w:rsidRPr="00F06F33" w:rsidRDefault="00F06F33" w:rsidP="00F06F33">
      <w:pPr>
        <w:numPr>
          <w:ilvl w:val="1"/>
          <w:numId w:val="29"/>
        </w:numPr>
        <w:ind w:hanging="750"/>
        <w:jc w:val="both"/>
        <w:rPr>
          <w:bCs/>
        </w:rPr>
      </w:pPr>
      <w:r w:rsidRPr="00F06F33">
        <w:rPr>
          <w:bCs/>
        </w:rPr>
        <w:t xml:space="preserve">Section 11.1 provides for a signature bonus, which is not credited to minimum expenditure (under section 5) and not recoverable from Cost Petroleum. The amount of the signature bonus is not specified. Section 11.1 appears to be fairly standard compared to other PSCs where a signature bonus is also applied (please refer to the </w:t>
      </w:r>
      <w:r w:rsidR="007C10D9">
        <w:rPr>
          <w:bCs/>
        </w:rPr>
        <w:t>PSC C</w:t>
      </w:r>
      <w:r w:rsidRPr="00F06F33">
        <w:rPr>
          <w:bCs/>
        </w:rPr>
        <w:t xml:space="preserve">omparison </w:t>
      </w:r>
      <w:r w:rsidR="007C10D9">
        <w:rPr>
          <w:bCs/>
        </w:rPr>
        <w:t>T</w:t>
      </w:r>
      <w:r w:rsidRPr="00F06F33">
        <w:rPr>
          <w:bCs/>
        </w:rPr>
        <w:t>able for further details).</w:t>
      </w:r>
    </w:p>
    <w:p w:rsidR="00F06F33" w:rsidRPr="00F06F33" w:rsidRDefault="00F06F33" w:rsidP="007C10D9">
      <w:pPr>
        <w:ind w:left="737"/>
        <w:jc w:val="both"/>
        <w:rPr>
          <w:bCs/>
        </w:rPr>
      </w:pPr>
    </w:p>
    <w:p w:rsidR="00F06F33" w:rsidRPr="00F06F33" w:rsidRDefault="00F06F33" w:rsidP="007C10D9">
      <w:pPr>
        <w:ind w:left="737"/>
        <w:jc w:val="both"/>
        <w:rPr>
          <w:bCs/>
          <w:i/>
        </w:rPr>
      </w:pPr>
      <w:r w:rsidRPr="00F06F33">
        <w:rPr>
          <w:bCs/>
          <w:i/>
        </w:rPr>
        <w:t>Whether signature bonus is tax deductible</w:t>
      </w:r>
    </w:p>
    <w:p w:rsidR="00F06F33" w:rsidRPr="00F06F33" w:rsidRDefault="00F06F33" w:rsidP="007C10D9">
      <w:pPr>
        <w:ind w:left="737"/>
        <w:jc w:val="both"/>
        <w:rPr>
          <w:bCs/>
          <w:i/>
        </w:rPr>
      </w:pPr>
    </w:p>
    <w:p w:rsidR="00F06F33" w:rsidRPr="00F06F33" w:rsidRDefault="00F06F33" w:rsidP="00F06F33">
      <w:pPr>
        <w:numPr>
          <w:ilvl w:val="1"/>
          <w:numId w:val="29"/>
        </w:numPr>
        <w:ind w:hanging="750"/>
        <w:jc w:val="both"/>
        <w:rPr>
          <w:bCs/>
        </w:rPr>
      </w:pPr>
      <w:r w:rsidRPr="00F06F33">
        <w:rPr>
          <w:bCs/>
        </w:rPr>
        <w:t xml:space="preserve">Unlike the production bonus, the signature bonus is not expressly allowed as a tax deductible expenses. </w:t>
      </w:r>
      <w:r w:rsidR="00282AE2">
        <w:t>Contractor</w:t>
      </w:r>
      <w:r w:rsidR="00282AE2" w:rsidRPr="00F06F33">
        <w:rPr>
          <w:bCs/>
        </w:rPr>
        <w:t xml:space="preserve"> </w:t>
      </w:r>
      <w:r w:rsidRPr="00F06F33">
        <w:rPr>
          <w:bCs/>
        </w:rPr>
        <w:t xml:space="preserve">may wish to clarify this point. </w:t>
      </w:r>
    </w:p>
    <w:p w:rsidR="00F06F33" w:rsidRPr="00F06F33" w:rsidRDefault="00F06F33" w:rsidP="007C10D9">
      <w:pPr>
        <w:ind w:left="737"/>
        <w:jc w:val="both"/>
        <w:rPr>
          <w:bCs/>
        </w:rPr>
      </w:pPr>
    </w:p>
    <w:p w:rsidR="00F06F33" w:rsidRPr="00F06F33" w:rsidRDefault="00F06F33" w:rsidP="007C10D9">
      <w:pPr>
        <w:ind w:left="737"/>
        <w:jc w:val="both"/>
        <w:rPr>
          <w:bCs/>
          <w:i/>
        </w:rPr>
      </w:pPr>
      <w:r w:rsidRPr="00F06F33">
        <w:rPr>
          <w:bCs/>
          <w:i/>
        </w:rPr>
        <w:t>Production bonuses</w:t>
      </w:r>
    </w:p>
    <w:p w:rsidR="00F06F33" w:rsidRPr="00F06F33" w:rsidRDefault="00F06F33" w:rsidP="007C10D9">
      <w:pPr>
        <w:ind w:left="737"/>
        <w:jc w:val="both"/>
        <w:rPr>
          <w:bCs/>
        </w:rPr>
      </w:pPr>
    </w:p>
    <w:p w:rsidR="00F06F33" w:rsidRPr="00F06F33" w:rsidRDefault="00F06F33" w:rsidP="00F06F33">
      <w:pPr>
        <w:numPr>
          <w:ilvl w:val="1"/>
          <w:numId w:val="29"/>
        </w:numPr>
        <w:ind w:hanging="750"/>
        <w:jc w:val="both"/>
        <w:rPr>
          <w:bCs/>
          <w:lang w:val="en-US"/>
        </w:rPr>
      </w:pPr>
      <w:r w:rsidRPr="00F06F33">
        <w:rPr>
          <w:bCs/>
        </w:rPr>
        <w:t>Section 11.2 provides for produc</w:t>
      </w:r>
      <w:r w:rsidR="007C10D9">
        <w:rPr>
          <w:bCs/>
        </w:rPr>
        <w:t>tion bonuses payable following Commercial D</w:t>
      </w:r>
      <w:r w:rsidRPr="00F06F33">
        <w:rPr>
          <w:bCs/>
        </w:rPr>
        <w:t xml:space="preserve">iscovery (once the development plan is approved) and thereafter </w:t>
      </w:r>
      <w:r w:rsidRPr="00F06F33">
        <w:rPr>
          <w:bCs/>
          <w:lang w:val="en-US"/>
        </w:rPr>
        <w:t>at defined production rates (total average production over consecutive 90-day periods), as follows:</w:t>
      </w:r>
    </w:p>
    <w:p w:rsidR="00F06F33" w:rsidRPr="00F06F33" w:rsidRDefault="00F06F33" w:rsidP="007C10D9">
      <w:pPr>
        <w:ind w:left="737"/>
        <w:jc w:val="both"/>
        <w:rPr>
          <w:bCs/>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7F4D55" w:rsidRPr="007F4D55" w:rsidTr="007F4D55">
        <w:tc>
          <w:tcPr>
            <w:tcW w:w="2500" w:type="pct"/>
          </w:tcPr>
          <w:p w:rsidR="007F4D55" w:rsidRPr="007F4D55" w:rsidRDefault="007F4D55" w:rsidP="00664E54">
            <w:pPr>
              <w:rPr>
                <w:rFonts w:ascii="Times New Roman" w:hAnsi="Times New Roman" w:cs="Times New Roman"/>
                <w:u w:val="single"/>
                <w:lang w:val="en-US"/>
              </w:rPr>
            </w:pPr>
            <w:r w:rsidRPr="007F4D55">
              <w:rPr>
                <w:rFonts w:ascii="Times New Roman" w:hAnsi="Times New Roman" w:cs="Times New Roman"/>
                <w:u w:val="single"/>
                <w:lang w:val="en-US"/>
              </w:rPr>
              <w:lastRenderedPageBreak/>
              <w:t>Crude Oil</w:t>
            </w:r>
          </w:p>
          <w:p w:rsidR="007F4D55" w:rsidRPr="007F4D55" w:rsidRDefault="007F4D55" w:rsidP="00664E54">
            <w:pPr>
              <w:rPr>
                <w:rFonts w:ascii="Times New Roman" w:hAnsi="Times New Roman" w:cs="Times New Roman"/>
                <w:lang w:val="en-US"/>
              </w:rPr>
            </w:pP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Upon approval of Development Plan = US$500,000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10,000 BOPD = US$1,500,000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 xml:space="preserve">20,000 BOPD = US$2,000,000 </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50,000 BOPD = US$3,000,000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 xml:space="preserve">100,000 BOPD = US$4,000,000 </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 xml:space="preserve">150,000 BOPD = US$6,000,000 </w:t>
            </w:r>
          </w:p>
          <w:p w:rsidR="007F4D55" w:rsidRPr="007F4D55" w:rsidRDefault="007F4D55" w:rsidP="00664E54">
            <w:pPr>
              <w:rPr>
                <w:rFonts w:ascii="Times New Roman" w:hAnsi="Times New Roman" w:cs="Times New Roman"/>
                <w:lang w:val="en-US"/>
              </w:rPr>
            </w:pPr>
          </w:p>
        </w:tc>
        <w:tc>
          <w:tcPr>
            <w:tcW w:w="2500" w:type="pct"/>
          </w:tcPr>
          <w:p w:rsidR="007F4D55" w:rsidRPr="007F4D55" w:rsidRDefault="007F4D55" w:rsidP="00664E54">
            <w:pPr>
              <w:rPr>
                <w:rFonts w:ascii="Times New Roman" w:hAnsi="Times New Roman" w:cs="Times New Roman"/>
                <w:u w:val="single"/>
                <w:lang w:val="en-US"/>
              </w:rPr>
            </w:pPr>
            <w:r w:rsidRPr="007F4D55">
              <w:rPr>
                <w:rFonts w:ascii="Times New Roman" w:hAnsi="Times New Roman" w:cs="Times New Roman"/>
                <w:u w:val="single"/>
                <w:lang w:val="en-US"/>
              </w:rPr>
              <w:t>Natural Gas</w:t>
            </w:r>
          </w:p>
          <w:p w:rsidR="007F4D55" w:rsidRPr="007F4D55" w:rsidRDefault="007F4D55" w:rsidP="00664E54">
            <w:pPr>
              <w:rPr>
                <w:rFonts w:ascii="Times New Roman" w:hAnsi="Times New Roman" w:cs="Times New Roman"/>
                <w:lang w:val="en-US"/>
              </w:rPr>
            </w:pP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Upon approval of Development Plan = US$500,000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60 MMCFD = US$1,500,000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 xml:space="preserve">120 MMCFD = US$2,000,000 </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300 MMCFD = US$3,000,000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600 MMCFD = US$4,000,000</w:t>
            </w:r>
          </w:p>
          <w:p w:rsidR="007F4D55" w:rsidRPr="007F4D55" w:rsidRDefault="007F4D55" w:rsidP="00664E54">
            <w:pPr>
              <w:rPr>
                <w:rFonts w:ascii="Times New Roman" w:hAnsi="Times New Roman" w:cs="Times New Roman"/>
                <w:lang w:val="en-US"/>
              </w:rPr>
            </w:pPr>
            <w:r w:rsidRPr="007F4D55">
              <w:rPr>
                <w:rFonts w:ascii="Times New Roman" w:hAnsi="Times New Roman" w:cs="Times New Roman"/>
                <w:lang w:val="en-US"/>
              </w:rPr>
              <w:t>900 MMCFD = US$6,000,000</w:t>
            </w:r>
          </w:p>
        </w:tc>
      </w:tr>
    </w:tbl>
    <w:p w:rsidR="00F06F33" w:rsidRDefault="00F06F33" w:rsidP="007C10D9">
      <w:pPr>
        <w:ind w:left="737"/>
        <w:jc w:val="both"/>
        <w:rPr>
          <w:bCs/>
          <w:lang w:val="en-US"/>
        </w:rPr>
      </w:pPr>
    </w:p>
    <w:p w:rsidR="00F06F33" w:rsidRPr="00F06F33" w:rsidRDefault="007C10D9" w:rsidP="00F06F33">
      <w:pPr>
        <w:numPr>
          <w:ilvl w:val="1"/>
          <w:numId w:val="29"/>
        </w:numPr>
        <w:ind w:hanging="750"/>
        <w:jc w:val="both"/>
        <w:rPr>
          <w:bCs/>
        </w:rPr>
      </w:pPr>
      <w:r>
        <w:rPr>
          <w:bCs/>
        </w:rPr>
        <w:t>As mentioned above, p</w:t>
      </w:r>
      <w:r w:rsidR="00F06F33" w:rsidRPr="00F06F33">
        <w:rPr>
          <w:bCs/>
        </w:rPr>
        <w:t xml:space="preserve">roduction bonuses are not recoverable from Cost Petroleum, but are tax deductible. </w:t>
      </w:r>
    </w:p>
    <w:p w:rsidR="00F06F33" w:rsidRPr="00F06F33" w:rsidRDefault="00F06F33" w:rsidP="007C10D9">
      <w:pPr>
        <w:ind w:left="737"/>
        <w:jc w:val="both"/>
        <w:rPr>
          <w:bCs/>
        </w:rPr>
      </w:pPr>
    </w:p>
    <w:p w:rsidR="007F4D55" w:rsidRDefault="00664E54" w:rsidP="00664E54">
      <w:pPr>
        <w:numPr>
          <w:ilvl w:val="0"/>
          <w:numId w:val="29"/>
        </w:numPr>
        <w:jc w:val="both"/>
        <w:rPr>
          <w:b/>
          <w:bCs/>
        </w:rPr>
      </w:pPr>
      <w:r>
        <w:rPr>
          <w:b/>
          <w:bCs/>
        </w:rPr>
        <w:t>Valuation of petroleum (section 12)</w:t>
      </w:r>
    </w:p>
    <w:p w:rsidR="007F4D55" w:rsidRDefault="007F4D55" w:rsidP="007F4D55">
      <w:pPr>
        <w:jc w:val="both"/>
        <w:rPr>
          <w:b/>
          <w:bCs/>
        </w:rPr>
      </w:pPr>
    </w:p>
    <w:p w:rsidR="00664E54" w:rsidRPr="00664E54" w:rsidRDefault="00664E54" w:rsidP="00664E54">
      <w:pPr>
        <w:numPr>
          <w:ilvl w:val="1"/>
          <w:numId w:val="29"/>
        </w:numPr>
        <w:ind w:hanging="750"/>
        <w:jc w:val="both"/>
        <w:rPr>
          <w:bCs/>
          <w:lang w:val="en-US"/>
        </w:rPr>
      </w:pPr>
      <w:r>
        <w:rPr>
          <w:bCs/>
          <w:lang w:val="en-US"/>
        </w:rPr>
        <w:t xml:space="preserve">Section 12 of the Myanmar PSC </w:t>
      </w:r>
      <w:r w:rsidR="007129F7">
        <w:rPr>
          <w:bCs/>
          <w:lang w:val="en-US"/>
        </w:rPr>
        <w:t xml:space="preserve">sets out the procedure for valuing Crude Oil and Natural Gas, with different mechanisms depending on whether a certain percentage of sales are Arms Length Sales. The provisions </w:t>
      </w:r>
      <w:r w:rsidRPr="00664E54">
        <w:rPr>
          <w:bCs/>
          <w:lang w:val="en-US"/>
        </w:rPr>
        <w:t>are broadly acceptable</w:t>
      </w:r>
      <w:r w:rsidR="007129F7">
        <w:rPr>
          <w:bCs/>
          <w:lang w:val="en-US"/>
        </w:rPr>
        <w:t>, but we set out below s</w:t>
      </w:r>
      <w:r w:rsidRPr="00664E54">
        <w:rPr>
          <w:bCs/>
          <w:lang w:val="en-US"/>
        </w:rPr>
        <w:t xml:space="preserve">ome possible amendments and improvements </w:t>
      </w:r>
      <w:r w:rsidR="007129F7">
        <w:rPr>
          <w:bCs/>
          <w:lang w:val="en-US"/>
        </w:rPr>
        <w:t xml:space="preserve">that </w:t>
      </w:r>
      <w:r w:rsidR="00282AE2">
        <w:t>Contractor</w:t>
      </w:r>
      <w:r w:rsidR="00282AE2" w:rsidRPr="00664E54">
        <w:rPr>
          <w:bCs/>
          <w:lang w:val="en-US"/>
        </w:rPr>
        <w:t xml:space="preserve"> </w:t>
      </w:r>
      <w:r w:rsidRPr="00664E54">
        <w:rPr>
          <w:bCs/>
          <w:lang w:val="en-US"/>
        </w:rPr>
        <w:t>may want to consider</w:t>
      </w:r>
      <w:r w:rsidR="007129F7">
        <w:rPr>
          <w:bCs/>
          <w:lang w:val="en-US"/>
        </w:rPr>
        <w:t xml:space="preserve">. </w:t>
      </w:r>
    </w:p>
    <w:p w:rsidR="007129F7" w:rsidRDefault="007129F7" w:rsidP="007129F7">
      <w:pPr>
        <w:ind w:left="737"/>
        <w:jc w:val="both"/>
        <w:rPr>
          <w:b/>
          <w:bCs/>
          <w:lang w:val="en-US"/>
        </w:rPr>
      </w:pPr>
    </w:p>
    <w:p w:rsidR="00664E54" w:rsidRPr="007129F7" w:rsidRDefault="00664E54" w:rsidP="007129F7">
      <w:pPr>
        <w:ind w:left="737"/>
        <w:jc w:val="both"/>
        <w:rPr>
          <w:bCs/>
          <w:i/>
          <w:lang w:val="en-US"/>
        </w:rPr>
      </w:pPr>
      <w:r w:rsidRPr="007129F7">
        <w:rPr>
          <w:bCs/>
          <w:i/>
          <w:lang w:val="en-US"/>
        </w:rPr>
        <w:t>Accounting period</w:t>
      </w:r>
    </w:p>
    <w:p w:rsidR="00664E54" w:rsidRPr="00664E54" w:rsidRDefault="00664E54" w:rsidP="007129F7">
      <w:pPr>
        <w:ind w:left="737"/>
        <w:jc w:val="both"/>
        <w:rPr>
          <w:bCs/>
          <w:lang w:val="en-US"/>
        </w:rPr>
      </w:pPr>
    </w:p>
    <w:p w:rsidR="00664E54" w:rsidRPr="00664E54" w:rsidRDefault="00903335" w:rsidP="00664E54">
      <w:pPr>
        <w:numPr>
          <w:ilvl w:val="1"/>
          <w:numId w:val="29"/>
        </w:numPr>
        <w:ind w:hanging="750"/>
        <w:jc w:val="both"/>
        <w:rPr>
          <w:b/>
          <w:bCs/>
        </w:rPr>
      </w:pPr>
      <w:r>
        <w:rPr>
          <w:bCs/>
          <w:lang w:val="en-US"/>
        </w:rPr>
        <w:t xml:space="preserve">As mentioned above in relation to royalty payments, </w:t>
      </w:r>
      <w:r w:rsidR="00282AE2">
        <w:t>Contractor</w:t>
      </w:r>
      <w:r w:rsidR="00282AE2">
        <w:rPr>
          <w:bCs/>
          <w:lang w:val="en-US"/>
        </w:rPr>
        <w:t xml:space="preserve"> </w:t>
      </w:r>
      <w:r>
        <w:rPr>
          <w:bCs/>
          <w:lang w:val="en-US"/>
        </w:rPr>
        <w:t xml:space="preserve">may wish to clarify the meaning of “accounting period” as used in section 12 of the Myanmar PSC, and whether this is also each quarter as per the provisions on profit allocation. </w:t>
      </w:r>
    </w:p>
    <w:p w:rsidR="007129F7" w:rsidRDefault="007129F7" w:rsidP="007129F7">
      <w:pPr>
        <w:ind w:left="737"/>
        <w:jc w:val="both"/>
        <w:rPr>
          <w:b/>
          <w:bCs/>
          <w:lang w:val="en-US"/>
        </w:rPr>
      </w:pPr>
    </w:p>
    <w:p w:rsidR="00664E54" w:rsidRPr="007129F7" w:rsidRDefault="00664E54" w:rsidP="007129F7">
      <w:pPr>
        <w:ind w:left="737"/>
        <w:jc w:val="both"/>
        <w:rPr>
          <w:bCs/>
          <w:i/>
          <w:lang w:val="en-US"/>
        </w:rPr>
      </w:pPr>
      <w:r w:rsidRPr="007129F7">
        <w:rPr>
          <w:bCs/>
          <w:i/>
          <w:lang w:val="en-US"/>
        </w:rPr>
        <w:t xml:space="preserve">Disagreement in relation to determination of </w:t>
      </w:r>
      <w:r w:rsidR="00903335">
        <w:rPr>
          <w:bCs/>
          <w:i/>
          <w:lang w:val="en-US"/>
        </w:rPr>
        <w:t>C</w:t>
      </w:r>
      <w:r w:rsidRPr="007129F7">
        <w:rPr>
          <w:bCs/>
          <w:i/>
          <w:lang w:val="en-US"/>
        </w:rPr>
        <w:t xml:space="preserve">rude </w:t>
      </w:r>
      <w:r w:rsidR="00903335">
        <w:rPr>
          <w:bCs/>
          <w:i/>
          <w:lang w:val="en-US"/>
        </w:rPr>
        <w:t>O</w:t>
      </w:r>
      <w:r w:rsidRPr="007129F7">
        <w:rPr>
          <w:bCs/>
          <w:i/>
          <w:lang w:val="en-US"/>
        </w:rPr>
        <w:t>il value</w:t>
      </w:r>
    </w:p>
    <w:p w:rsidR="00664E54" w:rsidRPr="00664E54" w:rsidRDefault="00664E54" w:rsidP="007129F7">
      <w:pPr>
        <w:ind w:left="737"/>
        <w:jc w:val="both"/>
        <w:rPr>
          <w:b/>
          <w:bCs/>
          <w:lang w:val="en-US"/>
        </w:rPr>
      </w:pPr>
    </w:p>
    <w:p w:rsidR="00664E54" w:rsidRPr="008F09BB" w:rsidRDefault="00903335" w:rsidP="00664E54">
      <w:pPr>
        <w:numPr>
          <w:ilvl w:val="1"/>
          <w:numId w:val="29"/>
        </w:numPr>
        <w:ind w:hanging="750"/>
        <w:jc w:val="both"/>
        <w:rPr>
          <w:bCs/>
          <w:lang w:val="en-US"/>
        </w:rPr>
      </w:pPr>
      <w:r w:rsidRPr="008F09BB">
        <w:rPr>
          <w:bCs/>
          <w:lang w:val="en-US"/>
        </w:rPr>
        <w:t xml:space="preserve">Under section 12.6 of the Myanmar PSC, </w:t>
      </w:r>
      <w:r w:rsidR="00664E54" w:rsidRPr="008F09BB">
        <w:rPr>
          <w:bCs/>
          <w:lang w:val="en-US"/>
        </w:rPr>
        <w:t>disagreement</w:t>
      </w:r>
      <w:r w:rsidRPr="008F09BB">
        <w:rPr>
          <w:bCs/>
          <w:lang w:val="en-US"/>
        </w:rPr>
        <w:t>s</w:t>
      </w:r>
      <w:r w:rsidR="00664E54" w:rsidRPr="008F09BB">
        <w:rPr>
          <w:bCs/>
          <w:lang w:val="en-US"/>
        </w:rPr>
        <w:t xml:space="preserve"> in relation to the determination of </w:t>
      </w:r>
      <w:r w:rsidRPr="008F09BB">
        <w:rPr>
          <w:bCs/>
          <w:lang w:val="en-US"/>
        </w:rPr>
        <w:t>C</w:t>
      </w:r>
      <w:r w:rsidR="00664E54" w:rsidRPr="008F09BB">
        <w:rPr>
          <w:bCs/>
          <w:lang w:val="en-US"/>
        </w:rPr>
        <w:t xml:space="preserve">rude </w:t>
      </w:r>
      <w:r w:rsidRPr="008F09BB">
        <w:rPr>
          <w:bCs/>
          <w:lang w:val="en-US"/>
        </w:rPr>
        <w:t>O</w:t>
      </w:r>
      <w:r w:rsidR="00664E54" w:rsidRPr="008F09BB">
        <w:rPr>
          <w:bCs/>
          <w:lang w:val="en-US"/>
        </w:rPr>
        <w:t>il value</w:t>
      </w:r>
      <w:r w:rsidR="00664E54" w:rsidRPr="008F09BB">
        <w:rPr>
          <w:bCs/>
        </w:rPr>
        <w:t xml:space="preserve"> </w:t>
      </w:r>
      <w:r w:rsidRPr="008F09BB">
        <w:rPr>
          <w:bCs/>
        </w:rPr>
        <w:t xml:space="preserve">(including </w:t>
      </w:r>
      <w:r w:rsidR="008F09BB" w:rsidRPr="008F09BB">
        <w:rPr>
          <w:bCs/>
          <w:lang w:val="en-US"/>
        </w:rPr>
        <w:t xml:space="preserve">the selection of the Crude Oil to comprise Reference Crude if not previously agreed) </w:t>
      </w:r>
      <w:r w:rsidRPr="008F09BB">
        <w:rPr>
          <w:bCs/>
        </w:rPr>
        <w:t xml:space="preserve">may be submitted by </w:t>
      </w:r>
      <w:r w:rsidR="00664E54" w:rsidRPr="008F09BB">
        <w:rPr>
          <w:bCs/>
          <w:lang w:val="en-US"/>
        </w:rPr>
        <w:t xml:space="preserve">either party </w:t>
      </w:r>
      <w:r w:rsidRPr="008F09BB">
        <w:rPr>
          <w:bCs/>
          <w:lang w:val="en-US"/>
        </w:rPr>
        <w:t xml:space="preserve">to </w:t>
      </w:r>
      <w:r w:rsidR="00664E54" w:rsidRPr="008F09BB">
        <w:rPr>
          <w:bCs/>
          <w:lang w:val="en-US"/>
        </w:rPr>
        <w:t>an expert in acc</w:t>
      </w:r>
      <w:r w:rsidR="008F09BB">
        <w:rPr>
          <w:bCs/>
          <w:lang w:val="en-US"/>
        </w:rPr>
        <w:t>ordance with the provisions of s</w:t>
      </w:r>
      <w:r w:rsidR="00664E54" w:rsidRPr="008F09BB">
        <w:rPr>
          <w:bCs/>
          <w:lang w:val="en-US"/>
        </w:rPr>
        <w:t xml:space="preserve">ection 22 </w:t>
      </w:r>
      <w:r w:rsidR="008F09BB">
        <w:rPr>
          <w:bCs/>
          <w:lang w:val="en-US"/>
        </w:rPr>
        <w:t>of the Myanmar PSC (Consultation and Arbitration</w:t>
      </w:r>
      <w:r w:rsidR="00664E54" w:rsidRPr="008F09BB">
        <w:rPr>
          <w:bCs/>
          <w:lang w:val="en-US"/>
        </w:rPr>
        <w:t xml:space="preserve">). </w:t>
      </w:r>
    </w:p>
    <w:p w:rsidR="00664E54" w:rsidRPr="00664E54" w:rsidRDefault="00664E54" w:rsidP="008F09BB">
      <w:pPr>
        <w:ind w:left="737"/>
        <w:jc w:val="both"/>
        <w:rPr>
          <w:bCs/>
          <w:lang w:val="en-US"/>
        </w:rPr>
      </w:pPr>
    </w:p>
    <w:p w:rsidR="00664E54" w:rsidRPr="00664E54" w:rsidRDefault="00282AE2" w:rsidP="00664E54">
      <w:pPr>
        <w:numPr>
          <w:ilvl w:val="1"/>
          <w:numId w:val="29"/>
        </w:numPr>
        <w:ind w:hanging="750"/>
        <w:jc w:val="both"/>
        <w:rPr>
          <w:bCs/>
        </w:rPr>
      </w:pPr>
      <w:r>
        <w:t>Contractor</w:t>
      </w:r>
      <w:r w:rsidRPr="00664E54">
        <w:rPr>
          <w:bCs/>
          <w:lang w:val="en-US"/>
        </w:rPr>
        <w:t xml:space="preserve"> </w:t>
      </w:r>
      <w:r w:rsidR="00664E54" w:rsidRPr="00664E54">
        <w:rPr>
          <w:bCs/>
          <w:lang w:val="en-US"/>
        </w:rPr>
        <w:t xml:space="preserve">might consider whether </w:t>
      </w:r>
      <w:r w:rsidR="008F09BB">
        <w:rPr>
          <w:bCs/>
          <w:lang w:val="en-US"/>
        </w:rPr>
        <w:t xml:space="preserve">technical disputes as to Crude Oil valuation could be resolved without </w:t>
      </w:r>
      <w:r w:rsidR="00664E54" w:rsidRPr="00664E54">
        <w:rPr>
          <w:bCs/>
          <w:lang w:val="en-US"/>
        </w:rPr>
        <w:t xml:space="preserve">recourse to </w:t>
      </w:r>
      <w:r w:rsidR="00077839">
        <w:rPr>
          <w:bCs/>
          <w:lang w:val="en-US"/>
        </w:rPr>
        <w:t xml:space="preserve">formal </w:t>
      </w:r>
      <w:r w:rsidR="00664E54" w:rsidRPr="00664E54">
        <w:rPr>
          <w:bCs/>
          <w:lang w:val="en-US"/>
        </w:rPr>
        <w:t>arbitration</w:t>
      </w:r>
      <w:r w:rsidR="00077839">
        <w:rPr>
          <w:bCs/>
          <w:lang w:val="en-US"/>
        </w:rPr>
        <w:t xml:space="preserve">, for example by requiring for such disputes to be resolved by a pre-appointed expert (or alternatively by an expert to be selected by an independent </w:t>
      </w:r>
      <w:r w:rsidR="00664E54" w:rsidRPr="00664E54">
        <w:rPr>
          <w:bCs/>
          <w:lang w:val="en-US"/>
        </w:rPr>
        <w:t xml:space="preserve">third party such as an internationally </w:t>
      </w:r>
      <w:r w:rsidR="00664E54" w:rsidRPr="00664E54">
        <w:rPr>
          <w:bCs/>
        </w:rPr>
        <w:t>recognised petroleum valuation</w:t>
      </w:r>
      <w:r w:rsidR="00077839">
        <w:rPr>
          <w:bCs/>
        </w:rPr>
        <w:t>). For example, in the Tanzania</w:t>
      </w:r>
      <w:r w:rsidR="00664E54" w:rsidRPr="00664E54">
        <w:rPr>
          <w:bCs/>
        </w:rPr>
        <w:t xml:space="preserve"> PSC</w:t>
      </w:r>
      <w:r w:rsidR="00077839">
        <w:rPr>
          <w:bCs/>
        </w:rPr>
        <w:t>,</w:t>
      </w:r>
      <w:r w:rsidR="00664E54" w:rsidRPr="00664E54">
        <w:rPr>
          <w:bCs/>
        </w:rPr>
        <w:t xml:space="preserve"> the </w:t>
      </w:r>
      <w:r w:rsidR="00077839">
        <w:rPr>
          <w:bCs/>
        </w:rPr>
        <w:t>p</w:t>
      </w:r>
      <w:r w:rsidR="00664E54" w:rsidRPr="00664E54">
        <w:rPr>
          <w:bCs/>
        </w:rPr>
        <w:t xml:space="preserve">arties can apply to </w:t>
      </w:r>
      <w:r w:rsidR="00664E54" w:rsidRPr="00664E54">
        <w:rPr>
          <w:bCs/>
          <w:lang w:val="en-US"/>
        </w:rPr>
        <w:t xml:space="preserve">The British Energy Institute (formerly British Institute of Petroleum) to have an expert appointed in relation to disputes in relation to commerciality of discoveries.  </w:t>
      </w:r>
    </w:p>
    <w:p w:rsidR="00664E54" w:rsidRPr="00664E54" w:rsidRDefault="00664E54" w:rsidP="007129F7">
      <w:pPr>
        <w:ind w:left="737"/>
        <w:jc w:val="both"/>
        <w:rPr>
          <w:bCs/>
          <w:lang w:val="en-US"/>
        </w:rPr>
      </w:pPr>
    </w:p>
    <w:p w:rsidR="00664E54" w:rsidRPr="007129F7" w:rsidRDefault="001513A4" w:rsidP="007129F7">
      <w:pPr>
        <w:ind w:left="737"/>
        <w:jc w:val="both"/>
        <w:rPr>
          <w:bCs/>
          <w:i/>
          <w:lang w:val="en-US"/>
        </w:rPr>
      </w:pPr>
      <w:r>
        <w:rPr>
          <w:bCs/>
          <w:i/>
          <w:lang w:val="en-US"/>
        </w:rPr>
        <w:lastRenderedPageBreak/>
        <w:t>Metering clauses</w:t>
      </w:r>
      <w:r w:rsidR="00664E54" w:rsidRPr="007129F7">
        <w:rPr>
          <w:bCs/>
          <w:i/>
          <w:lang w:val="en-US"/>
        </w:rPr>
        <w:t xml:space="preserve"> </w:t>
      </w:r>
    </w:p>
    <w:p w:rsidR="00664E54" w:rsidRPr="00664E54" w:rsidRDefault="00664E54" w:rsidP="007129F7">
      <w:pPr>
        <w:ind w:left="737"/>
        <w:jc w:val="both"/>
        <w:rPr>
          <w:bCs/>
          <w:lang w:val="en-US"/>
        </w:rPr>
      </w:pPr>
    </w:p>
    <w:p w:rsidR="007F4D55" w:rsidRPr="00664E54" w:rsidRDefault="001513A4" w:rsidP="00664E54">
      <w:pPr>
        <w:numPr>
          <w:ilvl w:val="1"/>
          <w:numId w:val="29"/>
        </w:numPr>
        <w:ind w:hanging="750"/>
        <w:jc w:val="both"/>
        <w:rPr>
          <w:b/>
          <w:bCs/>
        </w:rPr>
      </w:pPr>
      <w:r>
        <w:rPr>
          <w:bCs/>
          <w:lang w:val="en-US"/>
        </w:rPr>
        <w:t xml:space="preserve">Under section </w:t>
      </w:r>
      <w:r w:rsidR="00664E54" w:rsidRPr="00664E54">
        <w:rPr>
          <w:bCs/>
          <w:lang w:val="en-US"/>
        </w:rPr>
        <w:t xml:space="preserve">9.2 </w:t>
      </w:r>
      <w:r>
        <w:rPr>
          <w:bCs/>
          <w:lang w:val="en-US"/>
        </w:rPr>
        <w:t xml:space="preserve">of </w:t>
      </w:r>
      <w:r w:rsidR="00664E54" w:rsidRPr="00664E54">
        <w:rPr>
          <w:bCs/>
          <w:lang w:val="en-US"/>
        </w:rPr>
        <w:t>the Myanmar PSC</w:t>
      </w:r>
      <w:r>
        <w:rPr>
          <w:bCs/>
          <w:lang w:val="en-US"/>
        </w:rPr>
        <w:t xml:space="preserve">, </w:t>
      </w:r>
      <w:r w:rsidR="00664E54" w:rsidRPr="00664E54">
        <w:rPr>
          <w:rFonts w:hint="eastAsia"/>
          <w:bCs/>
          <w:lang w:val="en-US"/>
        </w:rPr>
        <w:t>Available Petroleum</w:t>
      </w:r>
      <w:r>
        <w:rPr>
          <w:bCs/>
          <w:lang w:val="en-US"/>
        </w:rPr>
        <w:t xml:space="preserve">, </w:t>
      </w:r>
      <w:r w:rsidR="00664E54" w:rsidRPr="00664E54">
        <w:rPr>
          <w:rFonts w:hint="eastAsia"/>
          <w:bCs/>
          <w:lang w:val="en-US"/>
        </w:rPr>
        <w:t>Available Crude Oil</w:t>
      </w:r>
      <w:r>
        <w:rPr>
          <w:bCs/>
          <w:lang w:val="en-US"/>
        </w:rPr>
        <w:t xml:space="preserve"> and </w:t>
      </w:r>
      <w:r w:rsidR="00664E54" w:rsidRPr="00664E54">
        <w:rPr>
          <w:rFonts w:hint="eastAsia"/>
          <w:bCs/>
          <w:lang w:val="en-US"/>
        </w:rPr>
        <w:t>Available Natural Gas</w:t>
      </w:r>
      <w:r>
        <w:rPr>
          <w:bCs/>
          <w:lang w:val="en-US"/>
        </w:rPr>
        <w:t xml:space="preserve"> is to</w:t>
      </w:r>
      <w:r w:rsidR="00664E54" w:rsidRPr="00664E54">
        <w:rPr>
          <w:rFonts w:hint="eastAsia"/>
          <w:bCs/>
          <w:lang w:val="en-US"/>
        </w:rPr>
        <w:t xml:space="preserve"> be measured at the Delivery Point</w:t>
      </w:r>
      <w:r>
        <w:rPr>
          <w:bCs/>
          <w:lang w:val="en-US"/>
        </w:rPr>
        <w:t xml:space="preserve">.  </w:t>
      </w:r>
      <w:r w:rsidR="00282AE2">
        <w:t>Contractor</w:t>
      </w:r>
      <w:r w:rsidR="00282AE2">
        <w:rPr>
          <w:bCs/>
          <w:lang w:val="en-US"/>
        </w:rPr>
        <w:t xml:space="preserve"> </w:t>
      </w:r>
      <w:r>
        <w:rPr>
          <w:bCs/>
          <w:lang w:val="en-US"/>
        </w:rPr>
        <w:t xml:space="preserve">might </w:t>
      </w:r>
      <w:r w:rsidR="00664E54" w:rsidRPr="00664E54">
        <w:rPr>
          <w:bCs/>
          <w:lang w:val="en-US"/>
        </w:rPr>
        <w:t xml:space="preserve">consider whether metering clauses (or other </w:t>
      </w:r>
      <w:r>
        <w:rPr>
          <w:bCs/>
          <w:lang w:val="en-US"/>
        </w:rPr>
        <w:t>provisions</w:t>
      </w:r>
      <w:r w:rsidR="00664E54" w:rsidRPr="00664E54">
        <w:rPr>
          <w:bCs/>
          <w:lang w:val="en-US"/>
        </w:rPr>
        <w:t xml:space="preserve"> relating to the measuring and or recording of measurements) are appropriate.</w:t>
      </w:r>
    </w:p>
    <w:p w:rsidR="007129F7" w:rsidRDefault="007129F7" w:rsidP="007129F7">
      <w:pPr>
        <w:ind w:left="737"/>
        <w:jc w:val="both"/>
        <w:rPr>
          <w:b/>
          <w:bCs/>
        </w:rPr>
      </w:pPr>
    </w:p>
    <w:p w:rsidR="00F06F33" w:rsidRPr="00F06F33" w:rsidRDefault="00F06F33" w:rsidP="001513A4">
      <w:pPr>
        <w:numPr>
          <w:ilvl w:val="0"/>
          <w:numId w:val="29"/>
        </w:numPr>
        <w:jc w:val="both"/>
        <w:rPr>
          <w:b/>
          <w:bCs/>
        </w:rPr>
      </w:pPr>
      <w:r w:rsidRPr="00F06F33">
        <w:rPr>
          <w:b/>
          <w:bCs/>
        </w:rPr>
        <w:t>Natural gas</w:t>
      </w:r>
      <w:r w:rsidR="001513A4">
        <w:rPr>
          <w:b/>
          <w:bCs/>
        </w:rPr>
        <w:t xml:space="preserve"> (section 13)</w:t>
      </w:r>
    </w:p>
    <w:p w:rsidR="00F06F33" w:rsidRPr="00F06F33" w:rsidRDefault="00F06F33" w:rsidP="001513A4">
      <w:pPr>
        <w:ind w:left="737"/>
        <w:jc w:val="both"/>
        <w:rPr>
          <w:bCs/>
        </w:rPr>
      </w:pPr>
    </w:p>
    <w:p w:rsidR="00F06F33" w:rsidRPr="00F06F33" w:rsidRDefault="00F06F33" w:rsidP="00F06F33">
      <w:pPr>
        <w:numPr>
          <w:ilvl w:val="1"/>
          <w:numId w:val="29"/>
        </w:numPr>
        <w:ind w:hanging="750"/>
        <w:jc w:val="both"/>
        <w:rPr>
          <w:bCs/>
        </w:rPr>
      </w:pPr>
      <w:r w:rsidRPr="00F06F33">
        <w:rPr>
          <w:bCs/>
        </w:rPr>
        <w:t>Section 13 contains provisions allowing for flaring of natural gas (with less restrictions than contained in other PSCs</w:t>
      </w:r>
      <w:r w:rsidR="001513A4">
        <w:rPr>
          <w:bCs/>
        </w:rPr>
        <w:t xml:space="preserve"> reviewed by us</w:t>
      </w:r>
      <w:r w:rsidRPr="00F06F33">
        <w:rPr>
          <w:bCs/>
        </w:rPr>
        <w:t xml:space="preserve">) and </w:t>
      </w:r>
      <w:r w:rsidR="001513A4">
        <w:rPr>
          <w:bCs/>
        </w:rPr>
        <w:t xml:space="preserve">briefly </w:t>
      </w:r>
      <w:r w:rsidRPr="00F06F33">
        <w:rPr>
          <w:bCs/>
        </w:rPr>
        <w:t xml:space="preserve">dealing with </w:t>
      </w:r>
      <w:r w:rsidR="001513A4">
        <w:rPr>
          <w:bCs/>
        </w:rPr>
        <w:t>assessment of Natural Gas discoveries</w:t>
      </w:r>
      <w:r w:rsidRPr="00F06F33">
        <w:rPr>
          <w:bCs/>
        </w:rPr>
        <w:t>. Unlike other PSCs</w:t>
      </w:r>
      <w:r w:rsidR="001513A4">
        <w:rPr>
          <w:bCs/>
        </w:rPr>
        <w:t xml:space="preserve"> reviewed by us</w:t>
      </w:r>
      <w:r w:rsidRPr="00F06F33">
        <w:rPr>
          <w:bCs/>
        </w:rPr>
        <w:t xml:space="preserve">, there are no provisions specifically dealing with appraisal and commercialisation of natural gas discoveries (both associated and non-associated). </w:t>
      </w:r>
      <w:r w:rsidR="00282AE2">
        <w:t>Contractor</w:t>
      </w:r>
      <w:r w:rsidR="00282AE2" w:rsidRPr="00F06F33">
        <w:rPr>
          <w:bCs/>
        </w:rPr>
        <w:t xml:space="preserve"> </w:t>
      </w:r>
      <w:r w:rsidRPr="00F06F33">
        <w:rPr>
          <w:bCs/>
        </w:rPr>
        <w:t xml:space="preserve">may consider detailing the procedure for appraisal, particularly where the general provisions relating to discovery and appraisal under section 7 are not appropriate. </w:t>
      </w:r>
    </w:p>
    <w:p w:rsidR="00F06F33" w:rsidRPr="00F06F33" w:rsidRDefault="00F06F33" w:rsidP="00D77870">
      <w:pPr>
        <w:ind w:left="737"/>
        <w:jc w:val="both"/>
        <w:rPr>
          <w:bCs/>
        </w:rPr>
      </w:pPr>
    </w:p>
    <w:p w:rsidR="00F06F33" w:rsidRPr="00F06F33" w:rsidRDefault="00F06F33" w:rsidP="00D77870">
      <w:pPr>
        <w:ind w:left="737"/>
        <w:jc w:val="both"/>
        <w:rPr>
          <w:bCs/>
          <w:i/>
        </w:rPr>
      </w:pPr>
      <w:r w:rsidRPr="00F06F33">
        <w:rPr>
          <w:bCs/>
          <w:i/>
        </w:rPr>
        <w:t>Pre-emption rights</w:t>
      </w:r>
    </w:p>
    <w:p w:rsidR="00F06F33" w:rsidRPr="00F06F33" w:rsidRDefault="00F06F33" w:rsidP="00D77870">
      <w:pPr>
        <w:ind w:left="737"/>
        <w:jc w:val="both"/>
        <w:rPr>
          <w:bCs/>
          <w:i/>
        </w:rPr>
      </w:pPr>
    </w:p>
    <w:p w:rsidR="00F06F33" w:rsidRPr="00F06F33" w:rsidRDefault="00F06F33" w:rsidP="00F06F33">
      <w:pPr>
        <w:numPr>
          <w:ilvl w:val="1"/>
          <w:numId w:val="29"/>
        </w:numPr>
        <w:ind w:hanging="750"/>
        <w:jc w:val="both"/>
        <w:rPr>
          <w:bCs/>
        </w:rPr>
      </w:pPr>
      <w:r w:rsidRPr="00F06F33">
        <w:rPr>
          <w:bCs/>
        </w:rPr>
        <w:t xml:space="preserve">Going one step further, </w:t>
      </w:r>
      <w:r w:rsidR="00282AE2">
        <w:t>Contractor</w:t>
      </w:r>
      <w:r w:rsidR="00282AE2" w:rsidRPr="00F06F33">
        <w:rPr>
          <w:bCs/>
        </w:rPr>
        <w:t xml:space="preserve"> </w:t>
      </w:r>
      <w:r w:rsidRPr="00F06F33">
        <w:rPr>
          <w:bCs/>
        </w:rPr>
        <w:t>may consider adopting the approach</w:t>
      </w:r>
      <w:r w:rsidR="00D77870">
        <w:rPr>
          <w:bCs/>
        </w:rPr>
        <w:t xml:space="preserve"> taken in the Kurdistan PSC</w:t>
      </w:r>
      <w:r w:rsidRPr="00F06F33">
        <w:rPr>
          <w:bCs/>
        </w:rPr>
        <w:t xml:space="preserve">, whereby </w:t>
      </w:r>
      <w:r w:rsidR="00D77870">
        <w:rPr>
          <w:bCs/>
        </w:rPr>
        <w:t xml:space="preserve">the </w:t>
      </w:r>
      <w:r w:rsidRPr="00F06F33">
        <w:rPr>
          <w:bCs/>
        </w:rPr>
        <w:t xml:space="preserve">contractor </w:t>
      </w:r>
      <w:r w:rsidR="00D77870">
        <w:rPr>
          <w:bCs/>
        </w:rPr>
        <w:t>can</w:t>
      </w:r>
      <w:r w:rsidRPr="00F06F33">
        <w:rPr>
          <w:bCs/>
        </w:rPr>
        <w:t xml:space="preserve"> request amendments to the PSC if considered necessary to commercialise a discovery of non-associated natural gas.  If the Government rejects the request, and subsequently agrees to develop such discovery with a third party within </w:t>
      </w:r>
      <w:r w:rsidR="00D77870">
        <w:rPr>
          <w:bCs/>
        </w:rPr>
        <w:t>eight</w:t>
      </w:r>
      <w:r w:rsidRPr="00F06F33">
        <w:rPr>
          <w:bCs/>
        </w:rPr>
        <w:t xml:space="preserve"> years, the original contractor will have certain pre-emption rights to develop the relevant discovery. </w:t>
      </w:r>
    </w:p>
    <w:p w:rsidR="00F06F33" w:rsidRPr="00F06F33" w:rsidRDefault="00F06F33" w:rsidP="00D77870">
      <w:pPr>
        <w:ind w:left="737"/>
        <w:jc w:val="both"/>
        <w:rPr>
          <w:bCs/>
        </w:rPr>
      </w:pPr>
    </w:p>
    <w:p w:rsidR="00F06F33" w:rsidRPr="00F06F33" w:rsidRDefault="00F06F33" w:rsidP="00D77870">
      <w:pPr>
        <w:ind w:left="737"/>
        <w:jc w:val="both"/>
        <w:rPr>
          <w:bCs/>
          <w:i/>
        </w:rPr>
      </w:pPr>
      <w:r w:rsidRPr="00F06F33">
        <w:rPr>
          <w:bCs/>
          <w:i/>
        </w:rPr>
        <w:t>Rights with respect to natural gas</w:t>
      </w:r>
    </w:p>
    <w:p w:rsidR="00F06F33" w:rsidRPr="00F06F33" w:rsidRDefault="00F06F33" w:rsidP="00D77870">
      <w:pPr>
        <w:ind w:left="737"/>
        <w:jc w:val="both"/>
        <w:rPr>
          <w:bCs/>
        </w:rPr>
      </w:pPr>
    </w:p>
    <w:p w:rsidR="00F06F33" w:rsidRPr="00F06F33" w:rsidRDefault="00282AE2" w:rsidP="00F06F33">
      <w:pPr>
        <w:numPr>
          <w:ilvl w:val="1"/>
          <w:numId w:val="29"/>
        </w:numPr>
        <w:ind w:hanging="750"/>
        <w:jc w:val="both"/>
        <w:rPr>
          <w:bCs/>
        </w:rPr>
      </w:pPr>
      <w:r>
        <w:t>Contractor</w:t>
      </w:r>
      <w:r w:rsidRPr="00F06F33">
        <w:rPr>
          <w:bCs/>
        </w:rPr>
        <w:t xml:space="preserve"> </w:t>
      </w:r>
      <w:r w:rsidR="00F06F33" w:rsidRPr="00F06F33">
        <w:rPr>
          <w:bCs/>
        </w:rPr>
        <w:t xml:space="preserve">may wish to expressly provide for </w:t>
      </w:r>
      <w:r w:rsidR="00D77870">
        <w:rPr>
          <w:bCs/>
        </w:rPr>
        <w:t xml:space="preserve">the </w:t>
      </w:r>
      <w:r w:rsidR="00F06F33" w:rsidRPr="00F06F33">
        <w:rPr>
          <w:bCs/>
        </w:rPr>
        <w:t xml:space="preserve">Contractor’s rights to </w:t>
      </w:r>
      <w:r w:rsidR="00F06F33" w:rsidRPr="00F06F33">
        <w:rPr>
          <w:bCs/>
          <w:lang w:val="en-US"/>
        </w:rPr>
        <w:t xml:space="preserve">dispose of its share of natural gas production (subject to any domestic market obligations), including to sell for export. </w:t>
      </w:r>
      <w:r w:rsidR="00D77870">
        <w:rPr>
          <w:bCs/>
          <w:lang w:val="en-US"/>
        </w:rPr>
        <w:t>A similar provision is already included in respect of Crude Oil under section 9.8(a) of the Myanmar PSC</w:t>
      </w:r>
      <w:r w:rsidR="00D77870">
        <w:rPr>
          <w:rStyle w:val="FootnoteReference"/>
          <w:bCs/>
          <w:lang w:val="en-US"/>
        </w:rPr>
        <w:footnoteReference w:id="4"/>
      </w:r>
      <w:r w:rsidR="00D77870">
        <w:rPr>
          <w:bCs/>
          <w:lang w:val="en-US"/>
        </w:rPr>
        <w:t xml:space="preserve">. </w:t>
      </w:r>
    </w:p>
    <w:p w:rsidR="00F06F33" w:rsidRPr="00F06F33" w:rsidRDefault="00F06F33" w:rsidP="00D77870">
      <w:pPr>
        <w:ind w:left="737"/>
        <w:jc w:val="both"/>
        <w:rPr>
          <w:bCs/>
        </w:rPr>
      </w:pPr>
    </w:p>
    <w:p w:rsidR="00BC518F" w:rsidRDefault="003A2D53" w:rsidP="00BC518F">
      <w:pPr>
        <w:numPr>
          <w:ilvl w:val="0"/>
          <w:numId w:val="29"/>
        </w:numPr>
        <w:jc w:val="both"/>
        <w:rPr>
          <w:b/>
          <w:bCs/>
        </w:rPr>
      </w:pPr>
      <w:r w:rsidRPr="003A2D53">
        <w:rPr>
          <w:rFonts w:hint="eastAsia"/>
          <w:b/>
          <w:bCs/>
        </w:rPr>
        <w:t>D</w:t>
      </w:r>
      <w:r w:rsidRPr="003A2D53">
        <w:rPr>
          <w:b/>
          <w:bCs/>
        </w:rPr>
        <w:t>omestic crude oil and natural gas requirement</w:t>
      </w:r>
      <w:r>
        <w:rPr>
          <w:b/>
          <w:bCs/>
        </w:rPr>
        <w:t xml:space="preserve"> (section 14)</w:t>
      </w:r>
    </w:p>
    <w:p w:rsidR="00BC518F" w:rsidRPr="00BC518F" w:rsidRDefault="00BC518F" w:rsidP="00BC518F">
      <w:pPr>
        <w:ind w:left="737"/>
        <w:jc w:val="both"/>
        <w:rPr>
          <w:b/>
          <w:bCs/>
        </w:rPr>
      </w:pPr>
    </w:p>
    <w:p w:rsidR="003A2D53" w:rsidRPr="00BC518F" w:rsidRDefault="00215484" w:rsidP="00BC518F">
      <w:pPr>
        <w:numPr>
          <w:ilvl w:val="1"/>
          <w:numId w:val="29"/>
        </w:numPr>
        <w:jc w:val="both"/>
        <w:rPr>
          <w:b/>
          <w:bCs/>
        </w:rPr>
      </w:pPr>
      <w:r w:rsidRPr="00BC518F">
        <w:rPr>
          <w:bCs/>
          <w:lang w:val="en-US"/>
        </w:rPr>
        <w:t>Under s</w:t>
      </w:r>
      <w:r w:rsidR="003A2D53" w:rsidRPr="00BC518F">
        <w:rPr>
          <w:bCs/>
          <w:lang w:val="en-US"/>
        </w:rPr>
        <w:t>ection 14 of the Myanmar PSC</w:t>
      </w:r>
      <w:r w:rsidRPr="00BC518F">
        <w:rPr>
          <w:bCs/>
          <w:lang w:val="en-US"/>
        </w:rPr>
        <w:t xml:space="preserve">, 20% of the Crude Oil and 25% of the Natural Gas allocated to the Contractor is to be used to supply the domestic market, at 90% of the value of such Petroleum. </w:t>
      </w:r>
      <w:r w:rsidR="00BC518F">
        <w:rPr>
          <w:bCs/>
        </w:rPr>
        <w:t xml:space="preserve">Please refer to the </w:t>
      </w:r>
      <w:r w:rsidR="00BC518F" w:rsidRPr="00F06F33">
        <w:rPr>
          <w:bCs/>
        </w:rPr>
        <w:t xml:space="preserve">PSC </w:t>
      </w:r>
      <w:r w:rsidR="00BC518F">
        <w:rPr>
          <w:bCs/>
        </w:rPr>
        <w:t>Comparison T</w:t>
      </w:r>
      <w:r w:rsidR="00BC518F" w:rsidRPr="00F06F33">
        <w:rPr>
          <w:bCs/>
        </w:rPr>
        <w:t xml:space="preserve">able for examples of </w:t>
      </w:r>
      <w:r w:rsidR="00BC518F">
        <w:rPr>
          <w:bCs/>
        </w:rPr>
        <w:t>domestic supply obligations in third country PSCs</w:t>
      </w:r>
      <w:r w:rsidR="00BC518F" w:rsidRPr="00F06F33">
        <w:rPr>
          <w:bCs/>
        </w:rPr>
        <w:t xml:space="preserve">. </w:t>
      </w:r>
    </w:p>
    <w:p w:rsidR="003A2D53" w:rsidRDefault="003A2D53" w:rsidP="00BC518F">
      <w:pPr>
        <w:ind w:left="737"/>
        <w:jc w:val="both"/>
        <w:rPr>
          <w:bCs/>
          <w:lang w:val="en-US"/>
        </w:rPr>
      </w:pPr>
    </w:p>
    <w:p w:rsidR="003A2D53" w:rsidRPr="00BC518F" w:rsidRDefault="003A2D53" w:rsidP="00BC518F">
      <w:pPr>
        <w:ind w:left="737"/>
        <w:jc w:val="both"/>
        <w:rPr>
          <w:bCs/>
          <w:i/>
          <w:lang w:val="en-US"/>
        </w:rPr>
      </w:pPr>
      <w:r w:rsidRPr="00BC518F">
        <w:rPr>
          <w:bCs/>
          <w:i/>
          <w:lang w:val="en-US"/>
        </w:rPr>
        <w:t>Titl</w:t>
      </w:r>
      <w:r w:rsidR="00BC518F">
        <w:rPr>
          <w:bCs/>
          <w:i/>
          <w:lang w:val="en-US"/>
        </w:rPr>
        <w:t>e in p</w:t>
      </w:r>
      <w:r w:rsidRPr="00BC518F">
        <w:rPr>
          <w:bCs/>
          <w:i/>
          <w:lang w:val="en-US"/>
        </w:rPr>
        <w:t>roduction</w:t>
      </w:r>
    </w:p>
    <w:p w:rsidR="003A2D53" w:rsidRPr="003A2D53" w:rsidRDefault="003A2D53" w:rsidP="00BC518F">
      <w:pPr>
        <w:ind w:left="737"/>
        <w:jc w:val="both"/>
        <w:rPr>
          <w:bCs/>
          <w:lang w:val="en-US"/>
        </w:rPr>
      </w:pPr>
    </w:p>
    <w:p w:rsidR="003A2D53" w:rsidRPr="00BC518F" w:rsidRDefault="003A2D53" w:rsidP="003A2D53">
      <w:pPr>
        <w:numPr>
          <w:ilvl w:val="1"/>
          <w:numId w:val="29"/>
        </w:numPr>
        <w:ind w:hanging="750"/>
        <w:jc w:val="both"/>
        <w:rPr>
          <w:bCs/>
          <w:lang w:val="en-US"/>
        </w:rPr>
      </w:pPr>
      <w:r w:rsidRPr="00BC518F">
        <w:rPr>
          <w:bCs/>
          <w:lang w:val="en-US"/>
        </w:rPr>
        <w:lastRenderedPageBreak/>
        <w:t xml:space="preserve">It is not stated </w:t>
      </w:r>
      <w:r w:rsidR="00BC518F" w:rsidRPr="00BC518F">
        <w:rPr>
          <w:bCs/>
          <w:lang w:val="en-US"/>
        </w:rPr>
        <w:t xml:space="preserve">in section 14 </w:t>
      </w:r>
      <w:r w:rsidRPr="00BC518F">
        <w:rPr>
          <w:bCs/>
          <w:lang w:val="en-US"/>
        </w:rPr>
        <w:t>of the Myanmar PSC when title in production wi</w:t>
      </w:r>
      <w:r w:rsidR="00BC518F" w:rsidRPr="00BC518F">
        <w:rPr>
          <w:bCs/>
          <w:lang w:val="en-US"/>
        </w:rPr>
        <w:t xml:space="preserve">ll pass to MOGE or its nominee. </w:t>
      </w:r>
      <w:r w:rsidR="00BC518F">
        <w:rPr>
          <w:bCs/>
          <w:lang w:val="en-US"/>
        </w:rPr>
        <w:t xml:space="preserve">Under section </w:t>
      </w:r>
      <w:r w:rsidRPr="00BC518F">
        <w:rPr>
          <w:bCs/>
          <w:lang w:val="en-US"/>
        </w:rPr>
        <w:t>9.8(a)</w:t>
      </w:r>
      <w:r w:rsidR="00BC518F">
        <w:rPr>
          <w:bCs/>
          <w:lang w:val="en-US"/>
        </w:rPr>
        <w:t>,</w:t>
      </w:r>
      <w:r w:rsidRPr="00BC518F">
        <w:rPr>
          <w:bCs/>
          <w:lang w:val="en-US"/>
        </w:rPr>
        <w:t xml:space="preserve"> t</w:t>
      </w:r>
      <w:r w:rsidRPr="00BC518F">
        <w:rPr>
          <w:rFonts w:hint="eastAsia"/>
          <w:bCs/>
          <w:lang w:val="en-US"/>
        </w:rPr>
        <w:t xml:space="preserve">itle and risk of loss pass to </w:t>
      </w:r>
      <w:r w:rsidRPr="00BC518F">
        <w:rPr>
          <w:bCs/>
          <w:lang w:val="en-US"/>
        </w:rPr>
        <w:t>the buyer</w:t>
      </w:r>
      <w:r w:rsidR="00BC518F">
        <w:rPr>
          <w:bCs/>
          <w:lang w:val="en-US"/>
        </w:rPr>
        <w:t xml:space="preserve"> </w:t>
      </w:r>
      <w:r w:rsidRPr="00BC518F">
        <w:rPr>
          <w:bCs/>
          <w:lang w:val="en-US"/>
        </w:rPr>
        <w:t>/</w:t>
      </w:r>
      <w:r w:rsidR="00BC518F">
        <w:rPr>
          <w:bCs/>
          <w:lang w:val="en-US"/>
        </w:rPr>
        <w:t xml:space="preserve"> </w:t>
      </w:r>
      <w:r w:rsidRPr="00BC518F">
        <w:rPr>
          <w:bCs/>
          <w:lang w:val="en-US"/>
        </w:rPr>
        <w:t xml:space="preserve">receiver </w:t>
      </w:r>
      <w:r w:rsidRPr="00BC518F">
        <w:rPr>
          <w:rFonts w:hint="eastAsia"/>
          <w:bCs/>
          <w:lang w:val="en-US"/>
        </w:rPr>
        <w:t xml:space="preserve">of </w:t>
      </w:r>
      <w:r w:rsidRPr="00BC518F">
        <w:rPr>
          <w:bCs/>
          <w:lang w:val="en-US"/>
        </w:rPr>
        <w:t>Crude Oil</w:t>
      </w:r>
      <w:r w:rsidRPr="00BC518F">
        <w:rPr>
          <w:rFonts w:hint="eastAsia"/>
          <w:bCs/>
          <w:lang w:val="en-US"/>
        </w:rPr>
        <w:t xml:space="preserve"> at </w:t>
      </w:r>
      <w:r w:rsidRPr="00BC518F">
        <w:rPr>
          <w:bCs/>
          <w:lang w:val="en-US"/>
        </w:rPr>
        <w:t xml:space="preserve">the </w:t>
      </w:r>
      <w:r w:rsidRPr="00BC518F">
        <w:rPr>
          <w:rFonts w:hint="eastAsia"/>
          <w:bCs/>
          <w:lang w:val="en-US"/>
        </w:rPr>
        <w:t xml:space="preserve">Delivery </w:t>
      </w:r>
      <w:r w:rsidRPr="00BC518F">
        <w:rPr>
          <w:bCs/>
          <w:lang w:val="en-US"/>
        </w:rPr>
        <w:t>Point. For the avoidance of doubt</w:t>
      </w:r>
      <w:r w:rsidR="00A20435">
        <w:rPr>
          <w:bCs/>
          <w:lang w:val="en-US"/>
        </w:rPr>
        <w:t>,</w:t>
      </w:r>
      <w:r w:rsidRPr="00BC518F">
        <w:rPr>
          <w:bCs/>
          <w:lang w:val="en-US"/>
        </w:rPr>
        <w:t xml:space="preserve"> this wording </w:t>
      </w:r>
      <w:r w:rsidR="00A20435">
        <w:rPr>
          <w:bCs/>
          <w:lang w:val="en-US"/>
        </w:rPr>
        <w:t>can</w:t>
      </w:r>
      <w:r w:rsidRPr="00BC518F">
        <w:rPr>
          <w:bCs/>
          <w:lang w:val="en-US"/>
        </w:rPr>
        <w:t xml:space="preserve"> </w:t>
      </w:r>
      <w:r w:rsidR="00A20435">
        <w:rPr>
          <w:bCs/>
          <w:lang w:val="en-US"/>
        </w:rPr>
        <w:t xml:space="preserve">be </w:t>
      </w:r>
      <w:r w:rsidRPr="00BC518F">
        <w:rPr>
          <w:bCs/>
          <w:lang w:val="en-US"/>
        </w:rPr>
        <w:t xml:space="preserve">restated in </w:t>
      </w:r>
      <w:r w:rsidR="00A20435">
        <w:rPr>
          <w:bCs/>
          <w:lang w:val="en-US"/>
        </w:rPr>
        <w:t xml:space="preserve">section 14 </w:t>
      </w:r>
      <w:r w:rsidRPr="00BC518F">
        <w:rPr>
          <w:bCs/>
          <w:lang w:val="en-US"/>
        </w:rPr>
        <w:t xml:space="preserve">in relation to the supply of </w:t>
      </w:r>
      <w:r w:rsidRPr="00A20435">
        <w:rPr>
          <w:bCs/>
          <w:lang w:val="en-US"/>
        </w:rPr>
        <w:t>Domestic Crude Oil</w:t>
      </w:r>
      <w:r w:rsidR="00A20435" w:rsidRPr="00A20435">
        <w:rPr>
          <w:bCs/>
          <w:lang w:val="en-US"/>
        </w:rPr>
        <w:t>.</w:t>
      </w:r>
      <w:r w:rsidRPr="00BC518F">
        <w:rPr>
          <w:bCs/>
          <w:lang w:val="en-US"/>
        </w:rPr>
        <w:t xml:space="preserve">  </w:t>
      </w:r>
    </w:p>
    <w:p w:rsidR="003A2D53" w:rsidRPr="003A2D53" w:rsidRDefault="003A2D53" w:rsidP="00A20435">
      <w:pPr>
        <w:ind w:left="737"/>
        <w:jc w:val="both"/>
        <w:rPr>
          <w:bCs/>
          <w:lang w:val="en-US"/>
        </w:rPr>
      </w:pPr>
    </w:p>
    <w:p w:rsidR="00A20435" w:rsidRPr="00A20435" w:rsidRDefault="003A2D53" w:rsidP="00A20435">
      <w:pPr>
        <w:ind w:left="737"/>
        <w:jc w:val="both"/>
        <w:rPr>
          <w:bCs/>
          <w:i/>
          <w:lang w:val="en-US"/>
        </w:rPr>
      </w:pPr>
      <w:r w:rsidRPr="00A20435">
        <w:rPr>
          <w:bCs/>
          <w:i/>
          <w:lang w:val="en-US"/>
        </w:rPr>
        <w:t xml:space="preserve">Suspension of </w:t>
      </w:r>
      <w:r w:rsidR="00A20435" w:rsidRPr="00A20435">
        <w:rPr>
          <w:bCs/>
          <w:i/>
          <w:lang w:val="en-US"/>
        </w:rPr>
        <w:t>d</w:t>
      </w:r>
      <w:r w:rsidRPr="00A20435">
        <w:rPr>
          <w:bCs/>
          <w:i/>
          <w:lang w:val="en-US"/>
        </w:rPr>
        <w:t>omestic</w:t>
      </w:r>
      <w:r w:rsidR="00A20435" w:rsidRPr="00A20435">
        <w:rPr>
          <w:bCs/>
          <w:i/>
          <w:lang w:val="en-US"/>
        </w:rPr>
        <w:t xml:space="preserve"> supply obligation </w:t>
      </w:r>
    </w:p>
    <w:p w:rsidR="003A2D53" w:rsidRPr="003A2D53" w:rsidRDefault="003A2D53" w:rsidP="00A20435">
      <w:pPr>
        <w:ind w:left="737"/>
        <w:jc w:val="both"/>
        <w:rPr>
          <w:bCs/>
          <w:lang w:val="en-US"/>
        </w:rPr>
      </w:pPr>
    </w:p>
    <w:p w:rsidR="003A2D53" w:rsidRPr="003A2D53" w:rsidRDefault="00282AE2" w:rsidP="003A2D53">
      <w:pPr>
        <w:numPr>
          <w:ilvl w:val="1"/>
          <w:numId w:val="29"/>
        </w:numPr>
        <w:ind w:hanging="750"/>
        <w:jc w:val="both"/>
        <w:rPr>
          <w:bCs/>
          <w:lang w:val="en-US"/>
        </w:rPr>
      </w:pPr>
      <w:r>
        <w:t>Contractor</w:t>
      </w:r>
      <w:r>
        <w:rPr>
          <w:bCs/>
          <w:lang w:val="en-US"/>
        </w:rPr>
        <w:t xml:space="preserve"> </w:t>
      </w:r>
      <w:r w:rsidR="00B35E59">
        <w:rPr>
          <w:bCs/>
          <w:lang w:val="en-US"/>
        </w:rPr>
        <w:t xml:space="preserve">may consider to include a provision that any domestic supply obligations can be suspended when </w:t>
      </w:r>
      <w:r w:rsidR="003A2D53" w:rsidRPr="003A2D53">
        <w:rPr>
          <w:bCs/>
          <w:lang w:val="en-US"/>
        </w:rPr>
        <w:t>Myanmar attains self-sufficiency (or pre-determined levels of self-sufficiency) and</w:t>
      </w:r>
      <w:r w:rsidR="00B35E59">
        <w:rPr>
          <w:bCs/>
          <w:lang w:val="en-US"/>
        </w:rPr>
        <w:t xml:space="preserve"> </w:t>
      </w:r>
      <w:r w:rsidR="003A2D53" w:rsidRPr="003A2D53">
        <w:rPr>
          <w:bCs/>
          <w:lang w:val="en-US"/>
        </w:rPr>
        <w:t>/</w:t>
      </w:r>
      <w:r w:rsidR="00B35E59">
        <w:rPr>
          <w:bCs/>
          <w:lang w:val="en-US"/>
        </w:rPr>
        <w:t xml:space="preserve"> </w:t>
      </w:r>
      <w:r w:rsidR="003A2D53" w:rsidRPr="003A2D53">
        <w:rPr>
          <w:bCs/>
          <w:lang w:val="en-US"/>
        </w:rPr>
        <w:t>or creates a domestic reserve of crude oil.</w:t>
      </w:r>
      <w:r w:rsidR="00B35E59">
        <w:rPr>
          <w:bCs/>
          <w:lang w:val="en-US"/>
        </w:rPr>
        <w:t xml:space="preserve"> Please see the India PSC for an example of this approach. </w:t>
      </w:r>
    </w:p>
    <w:p w:rsidR="003A2D53" w:rsidRPr="003A2D53" w:rsidRDefault="003A2D53" w:rsidP="00B35E59">
      <w:pPr>
        <w:ind w:left="737"/>
        <w:jc w:val="both"/>
        <w:rPr>
          <w:bCs/>
          <w:lang w:val="en-US"/>
        </w:rPr>
      </w:pPr>
    </w:p>
    <w:p w:rsidR="003A2D53" w:rsidRPr="00D55C52" w:rsidRDefault="003A2D53" w:rsidP="00B35E59">
      <w:pPr>
        <w:ind w:left="737"/>
        <w:jc w:val="both"/>
        <w:rPr>
          <w:bCs/>
          <w:i/>
          <w:lang w:val="en-US"/>
        </w:rPr>
      </w:pPr>
      <w:r w:rsidRPr="00D55C52">
        <w:rPr>
          <w:bCs/>
          <w:i/>
          <w:lang w:val="en-US"/>
        </w:rPr>
        <w:t>Priority to supply domestic downstream industries established in Myanmar</w:t>
      </w:r>
    </w:p>
    <w:p w:rsidR="003A2D53" w:rsidRPr="00D55C52" w:rsidRDefault="003A2D53" w:rsidP="00B35E59">
      <w:pPr>
        <w:ind w:left="737"/>
        <w:jc w:val="both"/>
        <w:rPr>
          <w:bCs/>
          <w:lang w:val="en-US"/>
        </w:rPr>
      </w:pPr>
    </w:p>
    <w:p w:rsidR="003A2D53" w:rsidRPr="003A2D53" w:rsidRDefault="00B35E59" w:rsidP="003A2D53">
      <w:pPr>
        <w:numPr>
          <w:ilvl w:val="1"/>
          <w:numId w:val="29"/>
        </w:numPr>
        <w:ind w:hanging="750"/>
        <w:jc w:val="both"/>
        <w:rPr>
          <w:bCs/>
          <w:lang w:val="en-US"/>
        </w:rPr>
      </w:pPr>
      <w:r w:rsidRPr="00D55C52">
        <w:rPr>
          <w:bCs/>
          <w:lang w:val="en-US"/>
        </w:rPr>
        <w:t>Section 14</w:t>
      </w:r>
      <w:r w:rsidR="005D7A1D" w:rsidRPr="00D55C52">
        <w:rPr>
          <w:bCs/>
          <w:lang w:val="en-US"/>
        </w:rPr>
        <w:t xml:space="preserve"> sets out a general </w:t>
      </w:r>
      <w:r w:rsidR="003A2D53" w:rsidRPr="00D55C52">
        <w:rPr>
          <w:bCs/>
          <w:lang w:val="en-US"/>
        </w:rPr>
        <w:t xml:space="preserve">obligation </w:t>
      </w:r>
      <w:r w:rsidR="005D7A1D" w:rsidRPr="00D55C52">
        <w:rPr>
          <w:bCs/>
          <w:lang w:val="en-US"/>
        </w:rPr>
        <w:t xml:space="preserve">on the Contractor to </w:t>
      </w:r>
      <w:r w:rsidR="003A2D53" w:rsidRPr="00D55C52">
        <w:rPr>
          <w:bCs/>
          <w:lang w:val="en-US"/>
        </w:rPr>
        <w:t>prioritize the supply of oil</w:t>
      </w:r>
      <w:r w:rsidR="005D7A1D" w:rsidRPr="00D55C52">
        <w:rPr>
          <w:bCs/>
          <w:lang w:val="en-US"/>
        </w:rPr>
        <w:t xml:space="preserve"> </w:t>
      </w:r>
      <w:r w:rsidR="003A2D53" w:rsidRPr="00D55C52">
        <w:rPr>
          <w:bCs/>
          <w:lang w:val="en-US"/>
        </w:rPr>
        <w:t>/</w:t>
      </w:r>
      <w:r w:rsidR="005D7A1D" w:rsidRPr="00D55C52">
        <w:rPr>
          <w:bCs/>
          <w:lang w:val="en-US"/>
        </w:rPr>
        <w:t xml:space="preserve"> </w:t>
      </w:r>
      <w:r w:rsidR="003A2D53" w:rsidRPr="00D55C52">
        <w:rPr>
          <w:bCs/>
          <w:lang w:val="en-US"/>
        </w:rPr>
        <w:t xml:space="preserve">gas </w:t>
      </w:r>
      <w:r w:rsidR="005D7A1D" w:rsidRPr="00D55C52">
        <w:rPr>
          <w:bCs/>
          <w:lang w:val="en-US"/>
        </w:rPr>
        <w:t xml:space="preserve">to </w:t>
      </w:r>
      <w:r w:rsidR="003A2D53" w:rsidRPr="00D55C52">
        <w:rPr>
          <w:bCs/>
          <w:lang w:val="en-US"/>
        </w:rPr>
        <w:t>domestic downstream industries established in Myanmar</w:t>
      </w:r>
      <w:r w:rsidR="005D7A1D" w:rsidRPr="00D55C52">
        <w:rPr>
          <w:bCs/>
          <w:lang w:val="en-US"/>
        </w:rPr>
        <w:t xml:space="preserve">. This is in addition to the domestic supply obligations discussed above. </w:t>
      </w:r>
      <w:r w:rsidR="00282AE2">
        <w:t>Contractor</w:t>
      </w:r>
      <w:r w:rsidR="00282AE2" w:rsidRPr="00D55C52">
        <w:rPr>
          <w:bCs/>
          <w:lang w:val="en-US"/>
        </w:rPr>
        <w:t xml:space="preserve"> </w:t>
      </w:r>
      <w:r w:rsidR="005D7A1D" w:rsidRPr="00D55C52">
        <w:rPr>
          <w:bCs/>
          <w:lang w:val="en-US"/>
        </w:rPr>
        <w:t xml:space="preserve">may consider whether such obligation to prioritize will restrict </w:t>
      </w:r>
      <w:r w:rsidR="00282AE2">
        <w:t>Contractor</w:t>
      </w:r>
      <w:r w:rsidR="00282AE2">
        <w:t>’s</w:t>
      </w:r>
      <w:r w:rsidR="00282AE2" w:rsidRPr="00D55C52">
        <w:rPr>
          <w:bCs/>
          <w:lang w:val="en-US"/>
        </w:rPr>
        <w:t xml:space="preserve"> </w:t>
      </w:r>
      <w:r w:rsidR="005D7A1D" w:rsidRPr="00D55C52">
        <w:rPr>
          <w:bCs/>
          <w:lang w:val="en-US"/>
        </w:rPr>
        <w:t xml:space="preserve">ability to enter into </w:t>
      </w:r>
      <w:r w:rsidR="003A2D53" w:rsidRPr="00D55C52">
        <w:rPr>
          <w:bCs/>
          <w:lang w:val="en-US"/>
        </w:rPr>
        <w:t>off-take</w:t>
      </w:r>
      <w:r w:rsidR="005D7A1D" w:rsidRPr="00D55C52">
        <w:rPr>
          <w:bCs/>
          <w:lang w:val="en-US"/>
        </w:rPr>
        <w:t xml:space="preserve"> </w:t>
      </w:r>
      <w:r w:rsidR="003A2D53" w:rsidRPr="00D55C52">
        <w:rPr>
          <w:bCs/>
          <w:lang w:val="en-US"/>
        </w:rPr>
        <w:t>/</w:t>
      </w:r>
      <w:r w:rsidR="005D7A1D" w:rsidRPr="00D55C52">
        <w:rPr>
          <w:bCs/>
          <w:lang w:val="en-US"/>
        </w:rPr>
        <w:t xml:space="preserve"> </w:t>
      </w:r>
      <w:r w:rsidR="003A2D53" w:rsidRPr="00D55C52">
        <w:rPr>
          <w:bCs/>
          <w:lang w:val="en-US"/>
        </w:rPr>
        <w:t xml:space="preserve">purchase agreements with third parties. </w:t>
      </w:r>
      <w:r w:rsidR="005D7A1D" w:rsidRPr="00D55C52">
        <w:rPr>
          <w:bCs/>
          <w:lang w:val="en-US"/>
        </w:rPr>
        <w:t xml:space="preserve">If this is the case, </w:t>
      </w:r>
      <w:r w:rsidR="00282AE2">
        <w:t>Contractor</w:t>
      </w:r>
      <w:r w:rsidR="00282AE2" w:rsidRPr="00D55C52">
        <w:rPr>
          <w:bCs/>
          <w:lang w:val="en-US"/>
        </w:rPr>
        <w:t xml:space="preserve"> </w:t>
      </w:r>
      <w:r w:rsidR="005D7A1D" w:rsidRPr="00D55C52">
        <w:rPr>
          <w:bCs/>
          <w:lang w:val="en-US"/>
        </w:rPr>
        <w:t xml:space="preserve">may wish to amend this section so that it applies only to the Contractor’s share of Petroleum as remains </w:t>
      </w:r>
      <w:r w:rsidR="003A2D53" w:rsidRPr="00D55C52">
        <w:rPr>
          <w:bCs/>
          <w:lang w:val="en-US"/>
        </w:rPr>
        <w:t>after supply</w:t>
      </w:r>
      <w:r w:rsidR="005D7A1D" w:rsidRPr="00D55C52">
        <w:rPr>
          <w:bCs/>
          <w:lang w:val="en-US"/>
        </w:rPr>
        <w:t xml:space="preserve">ing third parties pursuant to ongoing </w:t>
      </w:r>
      <w:r w:rsidR="003A2D53" w:rsidRPr="00D55C52">
        <w:rPr>
          <w:bCs/>
          <w:lang w:val="en-US"/>
        </w:rPr>
        <w:t>off-take</w:t>
      </w:r>
      <w:r w:rsidR="005D7A1D" w:rsidRPr="00D55C52">
        <w:rPr>
          <w:bCs/>
          <w:lang w:val="en-US"/>
        </w:rPr>
        <w:t xml:space="preserve"> </w:t>
      </w:r>
      <w:r w:rsidR="003A2D53" w:rsidRPr="00D55C52">
        <w:rPr>
          <w:bCs/>
          <w:lang w:val="en-US"/>
        </w:rPr>
        <w:t>/</w:t>
      </w:r>
      <w:r w:rsidR="005D7A1D" w:rsidRPr="00D55C52">
        <w:rPr>
          <w:bCs/>
          <w:lang w:val="en-US"/>
        </w:rPr>
        <w:t xml:space="preserve"> purchase</w:t>
      </w:r>
      <w:r w:rsidR="003A2D53" w:rsidRPr="00D55C52">
        <w:rPr>
          <w:bCs/>
          <w:lang w:val="en-US"/>
        </w:rPr>
        <w:t xml:space="preserve"> agreements</w:t>
      </w:r>
      <w:r w:rsidR="005D7A1D" w:rsidRPr="00D55C52">
        <w:rPr>
          <w:bCs/>
          <w:lang w:val="en-US"/>
        </w:rPr>
        <w:t>.</w:t>
      </w:r>
      <w:r w:rsidR="005D7A1D">
        <w:rPr>
          <w:bCs/>
          <w:lang w:val="en-US"/>
        </w:rPr>
        <w:t xml:space="preserve"> </w:t>
      </w:r>
    </w:p>
    <w:p w:rsidR="003A2D53" w:rsidRPr="003A2D53" w:rsidRDefault="003A2D53" w:rsidP="005D7A1D">
      <w:pPr>
        <w:ind w:left="737"/>
        <w:jc w:val="both"/>
        <w:rPr>
          <w:bCs/>
          <w:lang w:val="en-US"/>
        </w:rPr>
      </w:pPr>
    </w:p>
    <w:p w:rsidR="00F06F33" w:rsidRPr="00F06F33" w:rsidRDefault="00F06F33" w:rsidP="00924597">
      <w:pPr>
        <w:numPr>
          <w:ilvl w:val="0"/>
          <w:numId w:val="29"/>
        </w:numPr>
        <w:jc w:val="both"/>
        <w:rPr>
          <w:b/>
          <w:bCs/>
        </w:rPr>
      </w:pPr>
      <w:r w:rsidRPr="00F06F33">
        <w:rPr>
          <w:b/>
          <w:bCs/>
        </w:rPr>
        <w:t>Employment and training</w:t>
      </w:r>
      <w:r w:rsidR="005D7A1D">
        <w:rPr>
          <w:b/>
          <w:bCs/>
        </w:rPr>
        <w:t xml:space="preserve"> (section 15)</w:t>
      </w:r>
    </w:p>
    <w:p w:rsidR="00F06F33" w:rsidRPr="00F06F33" w:rsidRDefault="00F06F33" w:rsidP="005D7A1D">
      <w:pPr>
        <w:ind w:left="737"/>
        <w:jc w:val="both"/>
        <w:rPr>
          <w:bCs/>
        </w:rPr>
      </w:pPr>
    </w:p>
    <w:p w:rsidR="00F06F33" w:rsidRPr="00D62352" w:rsidRDefault="00F06F33" w:rsidP="00D62352">
      <w:pPr>
        <w:numPr>
          <w:ilvl w:val="1"/>
          <w:numId w:val="29"/>
        </w:numPr>
        <w:ind w:hanging="750"/>
        <w:jc w:val="both"/>
        <w:rPr>
          <w:bCs/>
        </w:rPr>
      </w:pPr>
      <w:r w:rsidRPr="00F06F33">
        <w:rPr>
          <w:bCs/>
        </w:rPr>
        <w:t xml:space="preserve">Section </w:t>
      </w:r>
      <w:r w:rsidR="00D62352">
        <w:rPr>
          <w:bCs/>
        </w:rPr>
        <w:t xml:space="preserve">15 of the Myanmar PSC </w:t>
      </w:r>
      <w:r w:rsidRPr="00F06F33">
        <w:rPr>
          <w:bCs/>
        </w:rPr>
        <w:t xml:space="preserve">contains provisions similar to other PSCs regarding the employment of local personnel. There is also a requirement to spend at least US$25,000 per year during the Exploration Period and US$50,000 during the Development and Production Period on training funds. All such funds are recoverable from Cost Petroleum. </w:t>
      </w:r>
      <w:r w:rsidRPr="00D62352">
        <w:rPr>
          <w:bCs/>
        </w:rPr>
        <w:t xml:space="preserve">In addition, </w:t>
      </w:r>
      <w:r w:rsidR="00D62352" w:rsidRPr="00D62352">
        <w:rPr>
          <w:bCs/>
        </w:rPr>
        <w:t xml:space="preserve">the </w:t>
      </w:r>
      <w:r w:rsidRPr="00D62352">
        <w:rPr>
          <w:bCs/>
        </w:rPr>
        <w:t>Contractor must spend 0.5% of its share of Profit Petroleum on an R&amp;D fund. However, these R&amp;D expense is not recoverable from Cost Petroleum.</w:t>
      </w:r>
      <w:r w:rsidR="00D62352">
        <w:rPr>
          <w:bCs/>
        </w:rPr>
        <w:t xml:space="preserve"> </w:t>
      </w:r>
      <w:r w:rsidRPr="00D62352">
        <w:rPr>
          <w:bCs/>
        </w:rPr>
        <w:t xml:space="preserve">Please refer to </w:t>
      </w:r>
      <w:r w:rsidR="00215484" w:rsidRPr="00D62352">
        <w:rPr>
          <w:bCs/>
        </w:rPr>
        <w:t xml:space="preserve">the </w:t>
      </w:r>
      <w:r w:rsidRPr="00D62352">
        <w:rPr>
          <w:bCs/>
        </w:rPr>
        <w:t xml:space="preserve">PSC </w:t>
      </w:r>
      <w:r w:rsidR="00215484" w:rsidRPr="00D62352">
        <w:rPr>
          <w:bCs/>
        </w:rPr>
        <w:t>C</w:t>
      </w:r>
      <w:r w:rsidRPr="00D62352">
        <w:rPr>
          <w:bCs/>
        </w:rPr>
        <w:t xml:space="preserve">omparison </w:t>
      </w:r>
      <w:r w:rsidR="00215484" w:rsidRPr="00D62352">
        <w:rPr>
          <w:bCs/>
        </w:rPr>
        <w:t>T</w:t>
      </w:r>
      <w:r w:rsidRPr="00D62352">
        <w:rPr>
          <w:bCs/>
        </w:rPr>
        <w:t>able for some examples of employment training and R&amp;D funding requirements in third country PSCs.</w:t>
      </w:r>
    </w:p>
    <w:p w:rsidR="00F06F33" w:rsidRPr="00F06F33" w:rsidRDefault="00F06F33" w:rsidP="00D62352">
      <w:pPr>
        <w:ind w:left="737"/>
        <w:jc w:val="both"/>
        <w:rPr>
          <w:bCs/>
        </w:rPr>
      </w:pPr>
    </w:p>
    <w:p w:rsidR="00F63F09" w:rsidRPr="00F63F09" w:rsidRDefault="00F63F09" w:rsidP="00F63F09">
      <w:pPr>
        <w:numPr>
          <w:ilvl w:val="0"/>
          <w:numId w:val="29"/>
        </w:numPr>
        <w:jc w:val="both"/>
        <w:rPr>
          <w:b/>
          <w:bCs/>
        </w:rPr>
      </w:pPr>
      <w:r w:rsidRPr="00F63F09">
        <w:rPr>
          <w:rFonts w:hint="eastAsia"/>
          <w:b/>
          <w:bCs/>
        </w:rPr>
        <w:t>T</w:t>
      </w:r>
      <w:r w:rsidRPr="00F63F09">
        <w:rPr>
          <w:b/>
          <w:bCs/>
        </w:rPr>
        <w:t>itle of assets</w:t>
      </w:r>
      <w:r>
        <w:rPr>
          <w:b/>
          <w:bCs/>
        </w:rPr>
        <w:t xml:space="preserve"> (section 16)</w:t>
      </w:r>
    </w:p>
    <w:p w:rsidR="00F63F09" w:rsidRPr="00F63F09" w:rsidRDefault="00F63F09" w:rsidP="00F63F09">
      <w:pPr>
        <w:ind w:left="737"/>
        <w:jc w:val="both"/>
        <w:rPr>
          <w:b/>
          <w:bCs/>
        </w:rPr>
      </w:pPr>
    </w:p>
    <w:p w:rsidR="007C0EC1" w:rsidRDefault="00392A31" w:rsidP="007C0EC1">
      <w:pPr>
        <w:numPr>
          <w:ilvl w:val="1"/>
          <w:numId w:val="29"/>
        </w:numPr>
        <w:ind w:hanging="750"/>
        <w:jc w:val="both"/>
        <w:rPr>
          <w:bCs/>
          <w:lang w:val="en-US"/>
        </w:rPr>
      </w:pPr>
      <w:r>
        <w:rPr>
          <w:bCs/>
          <w:lang w:val="en-US"/>
        </w:rPr>
        <w:t xml:space="preserve">Section 16 of the Myanmar PSC provides that the Contractor’s physical assets </w:t>
      </w:r>
      <w:r w:rsidR="007C0EC1">
        <w:rPr>
          <w:bCs/>
          <w:lang w:val="en-US"/>
        </w:rPr>
        <w:t xml:space="preserve">will become the property of MOGE upon importation into Myanmar and shall be cost recoverable. This transfer of title provision does not apply to assets that are leased or rented by the Contractor or its Affiliates. Therefore, it may be possible to circumvent this clause by registering title in the relevant assets in the name of a special purpose vehicle, which would then lease such assets to the Contractor. </w:t>
      </w:r>
    </w:p>
    <w:p w:rsidR="007C0EC1" w:rsidRDefault="007C0EC1" w:rsidP="007C0EC1">
      <w:pPr>
        <w:ind w:left="737"/>
        <w:jc w:val="both"/>
        <w:rPr>
          <w:bCs/>
          <w:lang w:val="en-US"/>
        </w:rPr>
      </w:pPr>
    </w:p>
    <w:p w:rsidR="007C0EC1" w:rsidRPr="007C0EC1" w:rsidRDefault="007C0EC1" w:rsidP="007C0EC1">
      <w:pPr>
        <w:ind w:left="737"/>
        <w:jc w:val="both"/>
        <w:rPr>
          <w:bCs/>
          <w:i/>
          <w:lang w:val="en-US"/>
        </w:rPr>
      </w:pPr>
      <w:r>
        <w:rPr>
          <w:bCs/>
          <w:i/>
          <w:lang w:val="en-US"/>
        </w:rPr>
        <w:t xml:space="preserve">Option to acquire physical assets </w:t>
      </w:r>
    </w:p>
    <w:p w:rsidR="007C0EC1" w:rsidRDefault="007C0EC1" w:rsidP="007C0EC1">
      <w:pPr>
        <w:jc w:val="both"/>
        <w:rPr>
          <w:bCs/>
          <w:lang w:val="en-US"/>
        </w:rPr>
      </w:pPr>
    </w:p>
    <w:p w:rsidR="0005061B" w:rsidRDefault="007C0EC1" w:rsidP="0005061B">
      <w:pPr>
        <w:numPr>
          <w:ilvl w:val="1"/>
          <w:numId w:val="29"/>
        </w:numPr>
        <w:ind w:hanging="750"/>
        <w:jc w:val="both"/>
        <w:rPr>
          <w:bCs/>
          <w:lang w:val="en-US"/>
        </w:rPr>
      </w:pPr>
      <w:r w:rsidRPr="006243F6">
        <w:rPr>
          <w:bCs/>
          <w:lang w:val="en-US"/>
        </w:rPr>
        <w:t xml:space="preserve">An alternative approach would be for MOGE to be given the option to require vesting of title to physical assets, exercisable on expiry or termination of the PSC </w:t>
      </w:r>
      <w:r w:rsidR="007E2EC8" w:rsidRPr="006243F6">
        <w:rPr>
          <w:bCs/>
          <w:lang w:val="en-US"/>
        </w:rPr>
        <w:t xml:space="preserve">or at the time the portion of the full costs of the acquisition of the asset in question have been recovered by </w:t>
      </w:r>
      <w:r w:rsidR="006243F6" w:rsidRPr="006243F6">
        <w:rPr>
          <w:bCs/>
          <w:lang w:val="en-US"/>
        </w:rPr>
        <w:t>the c</w:t>
      </w:r>
      <w:r w:rsidR="007E2EC8" w:rsidRPr="006243F6">
        <w:rPr>
          <w:bCs/>
          <w:lang w:val="en-US"/>
        </w:rPr>
        <w:t xml:space="preserve">ontractor out of </w:t>
      </w:r>
      <w:r w:rsidR="006243F6" w:rsidRPr="006243F6">
        <w:rPr>
          <w:bCs/>
          <w:lang w:val="en-US"/>
        </w:rPr>
        <w:t>cost petroleum</w:t>
      </w:r>
      <w:r w:rsidRPr="006243F6">
        <w:rPr>
          <w:bCs/>
          <w:lang w:val="en-US"/>
        </w:rPr>
        <w:t xml:space="preserve">, rather than automatic vesting on importation. </w:t>
      </w:r>
      <w:r w:rsidR="006243F6">
        <w:rPr>
          <w:bCs/>
          <w:lang w:val="en-US"/>
        </w:rPr>
        <w:t>T</w:t>
      </w:r>
      <w:r w:rsidR="006243F6" w:rsidRPr="006243F6">
        <w:rPr>
          <w:bCs/>
          <w:lang w:val="en-US"/>
        </w:rPr>
        <w:t>his approach to physical assets is used</w:t>
      </w:r>
      <w:r w:rsidR="006243F6">
        <w:rPr>
          <w:bCs/>
          <w:lang w:val="en-US"/>
        </w:rPr>
        <w:t xml:space="preserve"> in the India and Tanzania PSCs.</w:t>
      </w:r>
    </w:p>
    <w:p w:rsidR="0005061B" w:rsidRDefault="0005061B" w:rsidP="0005061B">
      <w:pPr>
        <w:ind w:left="737"/>
        <w:jc w:val="both"/>
        <w:rPr>
          <w:bCs/>
          <w:lang w:val="en-US"/>
        </w:rPr>
      </w:pPr>
    </w:p>
    <w:p w:rsidR="00F06F33" w:rsidRPr="0005061B" w:rsidRDefault="00F06F33" w:rsidP="0005061B">
      <w:pPr>
        <w:numPr>
          <w:ilvl w:val="0"/>
          <w:numId w:val="29"/>
        </w:numPr>
        <w:jc w:val="both"/>
        <w:rPr>
          <w:bCs/>
          <w:lang w:val="en-US"/>
        </w:rPr>
      </w:pPr>
      <w:r w:rsidRPr="0005061B">
        <w:rPr>
          <w:b/>
          <w:bCs/>
        </w:rPr>
        <w:t>Rights and obligations of MOGE and Contractor</w:t>
      </w:r>
      <w:r w:rsidR="0005061B">
        <w:rPr>
          <w:b/>
          <w:bCs/>
        </w:rPr>
        <w:t xml:space="preserve"> (section 17)</w:t>
      </w:r>
    </w:p>
    <w:p w:rsidR="00F06F33" w:rsidRPr="00F06F33" w:rsidRDefault="00F06F33" w:rsidP="007E2EC8">
      <w:pPr>
        <w:ind w:left="737"/>
        <w:jc w:val="both"/>
        <w:rPr>
          <w:bCs/>
        </w:rPr>
      </w:pPr>
    </w:p>
    <w:p w:rsidR="00F06F33" w:rsidRPr="00F06F33" w:rsidRDefault="00F06F33" w:rsidP="0005061B">
      <w:pPr>
        <w:ind w:left="737"/>
        <w:jc w:val="both"/>
        <w:rPr>
          <w:bCs/>
          <w:i/>
        </w:rPr>
      </w:pPr>
      <w:r w:rsidRPr="00F06F33">
        <w:rPr>
          <w:bCs/>
          <w:i/>
        </w:rPr>
        <w:t>Environment-related obligations and site restoration of brownfield sites</w:t>
      </w:r>
    </w:p>
    <w:p w:rsidR="00F06F33" w:rsidRPr="00F06F33" w:rsidRDefault="00F06F33" w:rsidP="0005061B">
      <w:pPr>
        <w:ind w:left="737"/>
        <w:jc w:val="both"/>
        <w:rPr>
          <w:bCs/>
          <w:i/>
        </w:rPr>
      </w:pPr>
    </w:p>
    <w:p w:rsidR="00F06F33" w:rsidRPr="00F06F33" w:rsidRDefault="0005061B" w:rsidP="00F06F33">
      <w:pPr>
        <w:numPr>
          <w:ilvl w:val="1"/>
          <w:numId w:val="29"/>
        </w:numPr>
        <w:ind w:hanging="750"/>
        <w:jc w:val="both"/>
        <w:rPr>
          <w:bCs/>
        </w:rPr>
      </w:pPr>
      <w:r w:rsidRPr="00F06F33">
        <w:rPr>
          <w:bCs/>
        </w:rPr>
        <w:t xml:space="preserve">Section 17 </w:t>
      </w:r>
      <w:r>
        <w:rPr>
          <w:bCs/>
        </w:rPr>
        <w:t xml:space="preserve">of the Myanmar PSC </w:t>
      </w:r>
      <w:r w:rsidRPr="00F06F33">
        <w:rPr>
          <w:bCs/>
        </w:rPr>
        <w:t>contains a number of references to environmental protection and clean up and the end of operations.</w:t>
      </w:r>
      <w:r>
        <w:rPr>
          <w:bCs/>
        </w:rPr>
        <w:t xml:space="preserve"> If </w:t>
      </w:r>
      <w:r w:rsidR="00F06F33" w:rsidRPr="00F06F33">
        <w:rPr>
          <w:bCs/>
        </w:rPr>
        <w:t xml:space="preserve">parts of the Contract Area are brownfield sites, </w:t>
      </w:r>
      <w:r w:rsidR="00282AE2">
        <w:t>Contractor</w:t>
      </w:r>
      <w:r w:rsidR="00282AE2" w:rsidRPr="00F06F33">
        <w:rPr>
          <w:bCs/>
        </w:rPr>
        <w:t xml:space="preserve"> </w:t>
      </w:r>
      <w:r w:rsidR="00F06F33" w:rsidRPr="00F06F33">
        <w:rPr>
          <w:bCs/>
        </w:rPr>
        <w:t xml:space="preserve">may wish to clarify that the </w:t>
      </w:r>
      <w:r w:rsidR="00F06F33" w:rsidRPr="00F06F33">
        <w:rPr>
          <w:bCs/>
          <w:lang w:val="en-US"/>
        </w:rPr>
        <w:t>Contractor is only responsible for site restoration or environmental damage to the extent the same pertains solely and directly to petroleum operations under the PSC</w:t>
      </w:r>
      <w:r>
        <w:rPr>
          <w:bCs/>
          <w:lang w:val="en-US"/>
        </w:rPr>
        <w:t xml:space="preserve">. For examples of this approach, please refer to the Kurdistan and India PSCs. </w:t>
      </w:r>
    </w:p>
    <w:p w:rsidR="00F06F33" w:rsidRPr="00F06F33" w:rsidRDefault="00F06F33" w:rsidP="0005061B">
      <w:pPr>
        <w:ind w:left="737"/>
        <w:jc w:val="both"/>
        <w:rPr>
          <w:bCs/>
          <w:i/>
        </w:rPr>
      </w:pPr>
    </w:p>
    <w:p w:rsidR="00F06F33" w:rsidRPr="00F06F33" w:rsidRDefault="00F06F33" w:rsidP="0005061B">
      <w:pPr>
        <w:ind w:left="737"/>
        <w:jc w:val="both"/>
        <w:rPr>
          <w:bCs/>
          <w:i/>
        </w:rPr>
      </w:pPr>
      <w:r w:rsidRPr="00F06F33">
        <w:rPr>
          <w:bCs/>
          <w:i/>
        </w:rPr>
        <w:t>Reporting obligations</w:t>
      </w:r>
    </w:p>
    <w:p w:rsidR="00F06F33" w:rsidRPr="00F06F33" w:rsidRDefault="00F06F33" w:rsidP="0005061B">
      <w:pPr>
        <w:ind w:left="737"/>
        <w:jc w:val="both"/>
        <w:rPr>
          <w:bCs/>
          <w:i/>
        </w:rPr>
      </w:pPr>
    </w:p>
    <w:p w:rsidR="00F06F33" w:rsidRPr="00F06F33" w:rsidRDefault="0005061B" w:rsidP="00F06F33">
      <w:pPr>
        <w:numPr>
          <w:ilvl w:val="1"/>
          <w:numId w:val="29"/>
        </w:numPr>
        <w:ind w:hanging="750"/>
        <w:jc w:val="both"/>
        <w:rPr>
          <w:bCs/>
        </w:rPr>
      </w:pPr>
      <w:r>
        <w:rPr>
          <w:bCs/>
        </w:rPr>
        <w:t xml:space="preserve">Under the Myanmar </w:t>
      </w:r>
      <w:r w:rsidR="00F06F33" w:rsidRPr="00F06F33">
        <w:rPr>
          <w:bCs/>
        </w:rPr>
        <w:t>PSC</w:t>
      </w:r>
      <w:r>
        <w:rPr>
          <w:bCs/>
        </w:rPr>
        <w:t>, t</w:t>
      </w:r>
      <w:r w:rsidR="00F06F33" w:rsidRPr="00F06F33">
        <w:rPr>
          <w:bCs/>
        </w:rPr>
        <w:t xml:space="preserve">he Contractor </w:t>
      </w:r>
      <w:r>
        <w:rPr>
          <w:bCs/>
        </w:rPr>
        <w:t xml:space="preserve">must </w:t>
      </w:r>
      <w:r w:rsidR="00F06F33" w:rsidRPr="00F06F33">
        <w:rPr>
          <w:bCs/>
        </w:rPr>
        <w:t xml:space="preserve">submit weekly staff returns and progress reports. To ease the administrative burden on the Contractor, </w:t>
      </w:r>
      <w:r w:rsidR="00282AE2">
        <w:t>Contractor</w:t>
      </w:r>
      <w:r w:rsidR="00282AE2" w:rsidRPr="00F06F33">
        <w:rPr>
          <w:bCs/>
        </w:rPr>
        <w:t xml:space="preserve"> </w:t>
      </w:r>
      <w:r w:rsidR="00F06F33" w:rsidRPr="00F06F33">
        <w:rPr>
          <w:bCs/>
        </w:rPr>
        <w:t xml:space="preserve">may consider amending to require monthly reporting on these issues only (see for example the Bangladesh PSC). </w:t>
      </w:r>
    </w:p>
    <w:p w:rsidR="00F06F33" w:rsidRPr="00F06F33" w:rsidRDefault="00F06F33" w:rsidP="0005061B">
      <w:pPr>
        <w:ind w:left="737"/>
        <w:jc w:val="both"/>
        <w:rPr>
          <w:bCs/>
        </w:rPr>
      </w:pPr>
    </w:p>
    <w:p w:rsidR="00F06F33" w:rsidRPr="00F06F33" w:rsidRDefault="00F06F33" w:rsidP="0005061B">
      <w:pPr>
        <w:ind w:left="737"/>
        <w:jc w:val="both"/>
        <w:rPr>
          <w:bCs/>
          <w:i/>
        </w:rPr>
      </w:pPr>
      <w:r w:rsidRPr="00F06F33">
        <w:rPr>
          <w:bCs/>
          <w:i/>
        </w:rPr>
        <w:t>Locally sourced goods and services</w:t>
      </w:r>
    </w:p>
    <w:p w:rsidR="00F06F33" w:rsidRPr="00F06F33" w:rsidRDefault="00F06F33" w:rsidP="0005061B">
      <w:pPr>
        <w:ind w:left="737"/>
        <w:jc w:val="both"/>
        <w:rPr>
          <w:bCs/>
          <w:i/>
        </w:rPr>
      </w:pPr>
    </w:p>
    <w:p w:rsidR="00F06F33" w:rsidRPr="00F06F33" w:rsidRDefault="00F06F33" w:rsidP="00F06F33">
      <w:pPr>
        <w:numPr>
          <w:ilvl w:val="1"/>
          <w:numId w:val="29"/>
        </w:numPr>
        <w:ind w:hanging="750"/>
        <w:jc w:val="both"/>
        <w:rPr>
          <w:bCs/>
        </w:rPr>
      </w:pPr>
      <w:r w:rsidRPr="00F06F33">
        <w:rPr>
          <w:bCs/>
        </w:rPr>
        <w:t xml:space="preserve">Section 17.2(p) </w:t>
      </w:r>
      <w:r w:rsidR="0005061B">
        <w:rPr>
          <w:bCs/>
        </w:rPr>
        <w:t xml:space="preserve">of the Myanmar PSC </w:t>
      </w:r>
      <w:r w:rsidRPr="00F06F33">
        <w:rPr>
          <w:bCs/>
        </w:rPr>
        <w:t xml:space="preserve">requires </w:t>
      </w:r>
      <w:r w:rsidR="0005061B">
        <w:rPr>
          <w:bCs/>
        </w:rPr>
        <w:t xml:space="preserve">the </w:t>
      </w:r>
      <w:r w:rsidRPr="00F06F33">
        <w:rPr>
          <w:bCs/>
        </w:rPr>
        <w:t xml:space="preserve">Contractor to utilise 25% of the annual budget on local goods and services. This is an absolute requirement and not subject to such goods and services being comparable in terms of price, quality and time of delivery to internationally sourced goods and services. </w:t>
      </w:r>
    </w:p>
    <w:p w:rsidR="00F06F33" w:rsidRPr="00F06F33" w:rsidRDefault="00F06F33" w:rsidP="0005061B">
      <w:pPr>
        <w:ind w:left="737"/>
        <w:jc w:val="both"/>
        <w:rPr>
          <w:bCs/>
        </w:rPr>
      </w:pPr>
    </w:p>
    <w:p w:rsidR="00F06F33" w:rsidRPr="00F06F33" w:rsidRDefault="00F06F33" w:rsidP="0005061B">
      <w:pPr>
        <w:ind w:left="737"/>
        <w:jc w:val="both"/>
        <w:rPr>
          <w:bCs/>
          <w:i/>
        </w:rPr>
      </w:pPr>
      <w:r w:rsidRPr="00F06F33">
        <w:rPr>
          <w:bCs/>
          <w:i/>
        </w:rPr>
        <w:t>Additional / ancillary rights for Contractor</w:t>
      </w:r>
    </w:p>
    <w:p w:rsidR="00F06F33" w:rsidRPr="00F06F33" w:rsidRDefault="00F06F33" w:rsidP="0005061B">
      <w:pPr>
        <w:ind w:left="737"/>
        <w:jc w:val="both"/>
        <w:rPr>
          <w:bCs/>
          <w:i/>
        </w:rPr>
      </w:pPr>
    </w:p>
    <w:p w:rsidR="00F06F33" w:rsidRPr="00F06F33" w:rsidRDefault="00282AE2" w:rsidP="00F06F33">
      <w:pPr>
        <w:numPr>
          <w:ilvl w:val="1"/>
          <w:numId w:val="29"/>
        </w:numPr>
        <w:ind w:hanging="750"/>
        <w:jc w:val="both"/>
        <w:rPr>
          <w:bCs/>
        </w:rPr>
      </w:pPr>
      <w:r>
        <w:t>Contractor</w:t>
      </w:r>
      <w:r>
        <w:rPr>
          <w:bCs/>
        </w:rPr>
        <w:t xml:space="preserve"> </w:t>
      </w:r>
      <w:r w:rsidR="00F06F33" w:rsidRPr="00F06F33">
        <w:rPr>
          <w:bCs/>
        </w:rPr>
        <w:t>may consider expressly providing for certain ancillary rights for Contractor, such as the following:</w:t>
      </w:r>
    </w:p>
    <w:p w:rsidR="00F06F33" w:rsidRPr="00F06F33" w:rsidRDefault="00F06F33" w:rsidP="0005061B">
      <w:pPr>
        <w:ind w:left="737"/>
        <w:jc w:val="both"/>
        <w:rPr>
          <w:bCs/>
        </w:rPr>
      </w:pPr>
    </w:p>
    <w:p w:rsidR="00F06F33" w:rsidRPr="00F06F33" w:rsidRDefault="00F06F33" w:rsidP="0085466B">
      <w:pPr>
        <w:ind w:left="737"/>
        <w:jc w:val="both"/>
        <w:rPr>
          <w:bCs/>
          <w:lang w:val="en-US"/>
        </w:rPr>
      </w:pPr>
      <w:r w:rsidRPr="00F06F33">
        <w:rPr>
          <w:bCs/>
          <w:lang w:val="en-US"/>
        </w:rPr>
        <w:t>(</w:t>
      </w:r>
      <w:r w:rsidR="00E115EC">
        <w:rPr>
          <w:bCs/>
          <w:lang w:val="en-US"/>
        </w:rPr>
        <w:t xml:space="preserve">from the </w:t>
      </w:r>
      <w:r w:rsidRPr="00F06F33">
        <w:rPr>
          <w:bCs/>
          <w:lang w:val="en-US"/>
        </w:rPr>
        <w:t>Bangladesh PSC)</w:t>
      </w:r>
    </w:p>
    <w:p w:rsidR="00F06F33" w:rsidRPr="00F06F33" w:rsidRDefault="00F06F33" w:rsidP="0085466B">
      <w:pPr>
        <w:ind w:left="737"/>
        <w:jc w:val="both"/>
        <w:rPr>
          <w:bCs/>
          <w:lang w:val="en-US"/>
        </w:rPr>
      </w:pPr>
    </w:p>
    <w:p w:rsidR="00F06F33" w:rsidRPr="00E115EC" w:rsidRDefault="00F06F33" w:rsidP="00E115EC">
      <w:pPr>
        <w:pStyle w:val="ListParagraph"/>
        <w:numPr>
          <w:ilvl w:val="0"/>
          <w:numId w:val="40"/>
        </w:numPr>
        <w:jc w:val="both"/>
        <w:rPr>
          <w:bCs/>
          <w:lang w:val="en-US"/>
        </w:rPr>
      </w:pPr>
      <w:r w:rsidRPr="00E115EC">
        <w:rPr>
          <w:bCs/>
          <w:lang w:val="en-US"/>
        </w:rPr>
        <w:t>to right to use Petroleum from the producing field within the Contract Area in Petroleum Operations for the particular producing field free of charge</w:t>
      </w:r>
      <w:r w:rsidR="0005061B" w:rsidRPr="00E115EC">
        <w:rPr>
          <w:bCs/>
          <w:lang w:val="en-US"/>
        </w:rPr>
        <w:t xml:space="preserve"> (s</w:t>
      </w:r>
    </w:p>
    <w:p w:rsidR="00F06F33" w:rsidRPr="00F06F33" w:rsidRDefault="00F06F33" w:rsidP="0085466B">
      <w:pPr>
        <w:ind w:left="737"/>
        <w:jc w:val="both"/>
        <w:rPr>
          <w:bCs/>
          <w:lang w:val="en-US"/>
        </w:rPr>
      </w:pPr>
    </w:p>
    <w:p w:rsidR="00F06F33" w:rsidRPr="00E115EC" w:rsidRDefault="00F06F33" w:rsidP="00E115EC">
      <w:pPr>
        <w:pStyle w:val="ListParagraph"/>
        <w:numPr>
          <w:ilvl w:val="0"/>
          <w:numId w:val="40"/>
        </w:numPr>
        <w:jc w:val="both"/>
        <w:rPr>
          <w:bCs/>
          <w:lang w:val="en-US"/>
        </w:rPr>
      </w:pPr>
      <w:r w:rsidRPr="00E115EC">
        <w:rPr>
          <w:bCs/>
          <w:lang w:val="en-US"/>
        </w:rPr>
        <w:t>to right to free access to all geological and geophysical information and data available to the Government pertaining to the Contract Area</w:t>
      </w:r>
    </w:p>
    <w:p w:rsidR="00F06F33" w:rsidRPr="00F06F33" w:rsidRDefault="00F06F33" w:rsidP="0085466B">
      <w:pPr>
        <w:ind w:left="737"/>
        <w:jc w:val="both"/>
        <w:rPr>
          <w:bCs/>
          <w:lang w:val="en-US"/>
        </w:rPr>
      </w:pPr>
    </w:p>
    <w:p w:rsidR="00F06F33" w:rsidRPr="00E115EC" w:rsidRDefault="00F06F33" w:rsidP="00E115EC">
      <w:pPr>
        <w:pStyle w:val="ListParagraph"/>
        <w:numPr>
          <w:ilvl w:val="0"/>
          <w:numId w:val="40"/>
        </w:numPr>
        <w:jc w:val="both"/>
        <w:rPr>
          <w:bCs/>
          <w:lang w:val="en-US"/>
        </w:rPr>
      </w:pPr>
      <w:r w:rsidRPr="00E115EC">
        <w:rPr>
          <w:bCs/>
          <w:lang w:val="en-US"/>
        </w:rPr>
        <w:t>to right to use entitlement to Contractor's share of production as security for loans or other financing arranged for development</w:t>
      </w:r>
    </w:p>
    <w:p w:rsidR="00F06F33" w:rsidRPr="00F06F33" w:rsidRDefault="00F06F33" w:rsidP="0085466B">
      <w:pPr>
        <w:ind w:left="737"/>
        <w:jc w:val="both"/>
        <w:rPr>
          <w:bCs/>
          <w:lang w:val="en-US"/>
        </w:rPr>
      </w:pPr>
    </w:p>
    <w:p w:rsidR="00F06F33" w:rsidRPr="00F06F33" w:rsidRDefault="00F06F33" w:rsidP="0085466B">
      <w:pPr>
        <w:ind w:left="737"/>
        <w:jc w:val="both"/>
        <w:rPr>
          <w:bCs/>
          <w:lang w:val="en-US"/>
        </w:rPr>
      </w:pPr>
      <w:r w:rsidRPr="00F06F33">
        <w:rPr>
          <w:bCs/>
          <w:lang w:val="en-US"/>
        </w:rPr>
        <w:t>(</w:t>
      </w:r>
      <w:r w:rsidR="00E115EC">
        <w:rPr>
          <w:bCs/>
          <w:lang w:val="en-US"/>
        </w:rPr>
        <w:t xml:space="preserve">from the </w:t>
      </w:r>
      <w:r w:rsidRPr="00F06F33">
        <w:rPr>
          <w:bCs/>
          <w:lang w:val="en-US"/>
        </w:rPr>
        <w:t xml:space="preserve">India PSC) </w:t>
      </w:r>
    </w:p>
    <w:p w:rsidR="00F06F33" w:rsidRPr="00F06F33" w:rsidRDefault="00F06F33" w:rsidP="0085466B">
      <w:pPr>
        <w:ind w:left="737"/>
        <w:jc w:val="both"/>
        <w:rPr>
          <w:bCs/>
          <w:lang w:val="en-US"/>
        </w:rPr>
      </w:pPr>
    </w:p>
    <w:p w:rsidR="00F06F33" w:rsidRPr="00E115EC" w:rsidRDefault="00F06F33" w:rsidP="00E115EC">
      <w:pPr>
        <w:pStyle w:val="ListParagraph"/>
        <w:numPr>
          <w:ilvl w:val="0"/>
          <w:numId w:val="41"/>
        </w:numPr>
        <w:jc w:val="both"/>
        <w:rPr>
          <w:bCs/>
          <w:lang w:val="en-US"/>
        </w:rPr>
      </w:pPr>
      <w:r w:rsidRPr="00E115EC">
        <w:rPr>
          <w:bCs/>
          <w:lang w:val="en-US"/>
        </w:rPr>
        <w:t xml:space="preserve">the right to lay pipelines, build roads, construct bridges, ferries, aerodromes, landing fields, radio telephones and related communication and infrastructure facilities necessary for the conduct of Petroleum Operations </w:t>
      </w:r>
    </w:p>
    <w:p w:rsidR="00F06F33" w:rsidRPr="00F06F33" w:rsidRDefault="00F06F33" w:rsidP="0085466B">
      <w:pPr>
        <w:ind w:left="737"/>
        <w:jc w:val="both"/>
        <w:rPr>
          <w:bCs/>
        </w:rPr>
      </w:pPr>
    </w:p>
    <w:p w:rsidR="00F06F33" w:rsidRPr="00F06F33" w:rsidRDefault="00F06F33" w:rsidP="0085466B">
      <w:pPr>
        <w:ind w:left="737"/>
        <w:jc w:val="both"/>
        <w:rPr>
          <w:bCs/>
        </w:rPr>
      </w:pPr>
      <w:r w:rsidRPr="00F06F33">
        <w:rPr>
          <w:bCs/>
        </w:rPr>
        <w:t>(</w:t>
      </w:r>
      <w:r w:rsidR="00E115EC">
        <w:rPr>
          <w:bCs/>
        </w:rPr>
        <w:t xml:space="preserve">from the </w:t>
      </w:r>
      <w:r w:rsidRPr="00F06F33">
        <w:rPr>
          <w:bCs/>
        </w:rPr>
        <w:t>Mauritania</w:t>
      </w:r>
      <w:r w:rsidR="00E115EC">
        <w:rPr>
          <w:bCs/>
        </w:rPr>
        <w:t xml:space="preserve"> PSC</w:t>
      </w:r>
      <w:r w:rsidRPr="00F06F33">
        <w:rPr>
          <w:bCs/>
        </w:rPr>
        <w:t>)</w:t>
      </w:r>
    </w:p>
    <w:p w:rsidR="00F06F33" w:rsidRPr="00F06F33" w:rsidRDefault="00F06F33" w:rsidP="0085466B">
      <w:pPr>
        <w:ind w:left="737"/>
        <w:jc w:val="both"/>
        <w:rPr>
          <w:bCs/>
        </w:rPr>
      </w:pPr>
    </w:p>
    <w:p w:rsidR="00F06F33" w:rsidRPr="00E115EC" w:rsidRDefault="00F06F33" w:rsidP="00E115EC">
      <w:pPr>
        <w:pStyle w:val="ListParagraph"/>
        <w:numPr>
          <w:ilvl w:val="0"/>
          <w:numId w:val="41"/>
        </w:numPr>
        <w:jc w:val="both"/>
        <w:rPr>
          <w:bCs/>
          <w:lang w:val="en-US"/>
        </w:rPr>
      </w:pPr>
      <w:r w:rsidRPr="00E115EC">
        <w:rPr>
          <w:bCs/>
          <w:lang w:val="en-US"/>
        </w:rPr>
        <w:t xml:space="preserve">the exclusive right to perform the Petroleum Operations inside the Contract Area </w:t>
      </w:r>
    </w:p>
    <w:p w:rsidR="00F06F33" w:rsidRPr="00F06F33" w:rsidRDefault="00F06F33" w:rsidP="0085466B">
      <w:pPr>
        <w:ind w:left="737"/>
        <w:jc w:val="both"/>
        <w:rPr>
          <w:bCs/>
        </w:rPr>
      </w:pPr>
    </w:p>
    <w:p w:rsidR="00F06F33" w:rsidRPr="00F06F33" w:rsidRDefault="00F06F33" w:rsidP="0085466B">
      <w:pPr>
        <w:ind w:left="737"/>
        <w:jc w:val="both"/>
        <w:rPr>
          <w:bCs/>
        </w:rPr>
      </w:pPr>
      <w:r w:rsidRPr="00F06F33">
        <w:rPr>
          <w:bCs/>
        </w:rPr>
        <w:t>(</w:t>
      </w:r>
      <w:r w:rsidR="00E115EC">
        <w:rPr>
          <w:bCs/>
        </w:rPr>
        <w:t xml:space="preserve">from the </w:t>
      </w:r>
      <w:r w:rsidRPr="00F06F33">
        <w:rPr>
          <w:bCs/>
        </w:rPr>
        <w:t>Trinidad &amp; Tobago</w:t>
      </w:r>
      <w:r w:rsidR="00E115EC">
        <w:rPr>
          <w:bCs/>
        </w:rPr>
        <w:t xml:space="preserve"> PSC</w:t>
      </w:r>
      <w:r w:rsidRPr="00F06F33">
        <w:rPr>
          <w:bCs/>
        </w:rPr>
        <w:t>)</w:t>
      </w:r>
    </w:p>
    <w:p w:rsidR="00F06F33" w:rsidRPr="00F06F33" w:rsidRDefault="00F06F33" w:rsidP="0085466B">
      <w:pPr>
        <w:ind w:left="737"/>
        <w:jc w:val="both"/>
        <w:rPr>
          <w:bCs/>
        </w:rPr>
      </w:pPr>
    </w:p>
    <w:p w:rsidR="00F06F33" w:rsidRPr="00E115EC" w:rsidRDefault="00F06F33" w:rsidP="00E115EC">
      <w:pPr>
        <w:pStyle w:val="ListParagraph"/>
        <w:numPr>
          <w:ilvl w:val="0"/>
          <w:numId w:val="41"/>
        </w:numPr>
        <w:jc w:val="both"/>
        <w:rPr>
          <w:bCs/>
          <w:lang w:val="en-US"/>
        </w:rPr>
      </w:pPr>
      <w:r w:rsidRPr="00E115EC">
        <w:rPr>
          <w:bCs/>
          <w:lang w:val="en-US"/>
        </w:rPr>
        <w:t>to right to use in Petroleum Operations sand, gravel and water belonging to the public domain in accordance with the relevant laws (and on payment of the generally prevailing charge for such resources in the locality of use)</w:t>
      </w:r>
    </w:p>
    <w:p w:rsidR="00F06F33" w:rsidRPr="00F06F33" w:rsidRDefault="00F06F33" w:rsidP="0085466B">
      <w:pPr>
        <w:ind w:left="737"/>
        <w:jc w:val="both"/>
        <w:rPr>
          <w:bCs/>
        </w:rPr>
      </w:pPr>
    </w:p>
    <w:p w:rsidR="0065050B" w:rsidRPr="0065050B" w:rsidRDefault="0065050B" w:rsidP="0065050B">
      <w:pPr>
        <w:numPr>
          <w:ilvl w:val="0"/>
          <w:numId w:val="29"/>
        </w:numPr>
        <w:jc w:val="both"/>
        <w:rPr>
          <w:b/>
          <w:bCs/>
        </w:rPr>
      </w:pPr>
      <w:r w:rsidRPr="0065050B">
        <w:rPr>
          <w:rFonts w:hint="eastAsia"/>
          <w:b/>
          <w:bCs/>
        </w:rPr>
        <w:t>M</w:t>
      </w:r>
      <w:r w:rsidRPr="0065050B">
        <w:rPr>
          <w:b/>
          <w:bCs/>
        </w:rPr>
        <w:t xml:space="preserve">anagement </w:t>
      </w:r>
      <w:r w:rsidRPr="0065050B">
        <w:rPr>
          <w:rFonts w:hint="eastAsia"/>
          <w:b/>
          <w:bCs/>
        </w:rPr>
        <w:t>C</w:t>
      </w:r>
      <w:r w:rsidRPr="0065050B">
        <w:rPr>
          <w:b/>
          <w:bCs/>
        </w:rPr>
        <w:t>ommittee (</w:t>
      </w:r>
      <w:r w:rsidR="00F81335">
        <w:rPr>
          <w:b/>
          <w:bCs/>
        </w:rPr>
        <w:t xml:space="preserve">section 18 </w:t>
      </w:r>
      <w:r w:rsidRPr="0065050B">
        <w:rPr>
          <w:b/>
          <w:bCs/>
        </w:rPr>
        <w:t>and Annexure</w:t>
      </w:r>
      <w:r>
        <w:rPr>
          <w:b/>
          <w:bCs/>
        </w:rPr>
        <w:t xml:space="preserve"> </w:t>
      </w:r>
      <w:r w:rsidRPr="0065050B">
        <w:rPr>
          <w:b/>
          <w:bCs/>
        </w:rPr>
        <w:t>E)</w:t>
      </w:r>
    </w:p>
    <w:p w:rsidR="0065050B" w:rsidRPr="0065050B" w:rsidRDefault="0065050B" w:rsidP="0065050B">
      <w:pPr>
        <w:ind w:left="737"/>
        <w:jc w:val="both"/>
        <w:rPr>
          <w:b/>
          <w:bCs/>
        </w:rPr>
      </w:pPr>
    </w:p>
    <w:p w:rsidR="0065050B" w:rsidRPr="0065050B" w:rsidRDefault="0065050B" w:rsidP="0065050B">
      <w:pPr>
        <w:ind w:left="737"/>
        <w:jc w:val="both"/>
        <w:rPr>
          <w:bCs/>
          <w:i/>
        </w:rPr>
      </w:pPr>
      <w:r w:rsidRPr="0065050B">
        <w:rPr>
          <w:bCs/>
          <w:i/>
        </w:rPr>
        <w:t>Number of members</w:t>
      </w:r>
    </w:p>
    <w:p w:rsidR="0065050B" w:rsidRPr="0065050B" w:rsidRDefault="0065050B" w:rsidP="0065050B">
      <w:pPr>
        <w:ind w:left="737"/>
        <w:jc w:val="both"/>
        <w:rPr>
          <w:bCs/>
        </w:rPr>
      </w:pPr>
    </w:p>
    <w:p w:rsidR="0065050B" w:rsidRPr="0065050B" w:rsidRDefault="0065050B" w:rsidP="0065050B">
      <w:pPr>
        <w:numPr>
          <w:ilvl w:val="1"/>
          <w:numId w:val="29"/>
        </w:numPr>
        <w:jc w:val="both"/>
        <w:rPr>
          <w:bCs/>
          <w:lang w:val="en-US"/>
        </w:rPr>
      </w:pPr>
      <w:r>
        <w:rPr>
          <w:bCs/>
        </w:rPr>
        <w:t xml:space="preserve">Under paragraph 1 of </w:t>
      </w:r>
      <w:r>
        <w:rPr>
          <w:bCs/>
          <w:lang w:val="en-US"/>
        </w:rPr>
        <w:t xml:space="preserve">Annexure </w:t>
      </w:r>
      <w:r w:rsidRPr="0065050B">
        <w:rPr>
          <w:bCs/>
          <w:lang w:val="en-US"/>
        </w:rPr>
        <w:t>E</w:t>
      </w:r>
      <w:r>
        <w:rPr>
          <w:bCs/>
          <w:lang w:val="en-US"/>
        </w:rPr>
        <w:t xml:space="preserve"> of the Myanmar PSC, </w:t>
      </w:r>
      <w:r w:rsidRPr="0065050B">
        <w:rPr>
          <w:bCs/>
          <w:lang w:val="en-US"/>
        </w:rPr>
        <w:t xml:space="preserve">the </w:t>
      </w:r>
      <w:r>
        <w:rPr>
          <w:bCs/>
          <w:lang w:val="en-US"/>
        </w:rPr>
        <w:t>m</w:t>
      </w:r>
      <w:r w:rsidRPr="0065050B">
        <w:rPr>
          <w:bCs/>
          <w:lang w:val="en-US"/>
        </w:rPr>
        <w:t>ajority of the</w:t>
      </w:r>
      <w:r>
        <w:rPr>
          <w:bCs/>
          <w:lang w:val="en-US"/>
        </w:rPr>
        <w:t xml:space="preserve"> members of the </w:t>
      </w:r>
      <w:r w:rsidRPr="0065050B">
        <w:rPr>
          <w:bCs/>
          <w:lang w:val="en-US"/>
        </w:rPr>
        <w:t>Management Committee (</w:t>
      </w:r>
      <w:r>
        <w:rPr>
          <w:bCs/>
          <w:lang w:val="en-US"/>
        </w:rPr>
        <w:t>four out of seven</w:t>
      </w:r>
      <w:r w:rsidRPr="0065050B">
        <w:rPr>
          <w:bCs/>
          <w:lang w:val="en-US"/>
        </w:rPr>
        <w:t>) are to nominated by MOGE. Typically</w:t>
      </w:r>
      <w:r>
        <w:rPr>
          <w:bCs/>
          <w:lang w:val="en-US"/>
        </w:rPr>
        <w:t xml:space="preserve"> under PSCs, </w:t>
      </w:r>
      <w:r w:rsidRPr="0065050B">
        <w:rPr>
          <w:bCs/>
          <w:lang w:val="en-US"/>
        </w:rPr>
        <w:t xml:space="preserve">management committees are constituted with an equal number of members appointed by the government partner (or its </w:t>
      </w:r>
      <w:r>
        <w:rPr>
          <w:bCs/>
          <w:lang w:val="en-US"/>
        </w:rPr>
        <w:t>nominee) and the c</w:t>
      </w:r>
      <w:r w:rsidRPr="0065050B">
        <w:rPr>
          <w:bCs/>
          <w:lang w:val="en-US"/>
        </w:rPr>
        <w:t>ontractor, with the Chairman being a government nominee (</w:t>
      </w:r>
      <w:r>
        <w:rPr>
          <w:bCs/>
          <w:lang w:val="en-US"/>
        </w:rPr>
        <w:t>s</w:t>
      </w:r>
      <w:r w:rsidRPr="0065050B">
        <w:rPr>
          <w:bCs/>
          <w:lang w:val="en-US"/>
        </w:rPr>
        <w:t>ee</w:t>
      </w:r>
      <w:r>
        <w:rPr>
          <w:bCs/>
          <w:lang w:val="en-US"/>
        </w:rPr>
        <w:t xml:space="preserve">, for example, the </w:t>
      </w:r>
      <w:r w:rsidRPr="0065050B">
        <w:rPr>
          <w:bCs/>
          <w:lang w:val="en-US"/>
        </w:rPr>
        <w:t xml:space="preserve">PSCs for Trinidad </w:t>
      </w:r>
      <w:r>
        <w:rPr>
          <w:bCs/>
          <w:lang w:val="en-US"/>
        </w:rPr>
        <w:t>&amp;</w:t>
      </w:r>
      <w:r w:rsidRPr="0065050B">
        <w:rPr>
          <w:bCs/>
          <w:lang w:val="en-US"/>
        </w:rPr>
        <w:t xml:space="preserve"> Tobago, Kurdistan, Timor</w:t>
      </w:r>
      <w:r>
        <w:rPr>
          <w:bCs/>
          <w:lang w:val="en-US"/>
        </w:rPr>
        <w:t>-</w:t>
      </w:r>
      <w:r w:rsidRPr="0065050B">
        <w:rPr>
          <w:bCs/>
          <w:lang w:val="en-US"/>
        </w:rPr>
        <w:t>Leste</w:t>
      </w:r>
      <w:r>
        <w:rPr>
          <w:bCs/>
          <w:lang w:val="en-US"/>
        </w:rPr>
        <w:t xml:space="preserve"> and </w:t>
      </w:r>
      <w:r w:rsidRPr="0065050B">
        <w:rPr>
          <w:bCs/>
          <w:lang w:val="en-US"/>
        </w:rPr>
        <w:t xml:space="preserve">Tanzania). </w:t>
      </w:r>
      <w:r>
        <w:rPr>
          <w:bCs/>
          <w:lang w:val="en-US"/>
        </w:rPr>
        <w:t xml:space="preserve">Under the Indian PSC, </w:t>
      </w:r>
      <w:r w:rsidRPr="0065050B">
        <w:rPr>
          <w:bCs/>
          <w:lang w:val="en-US"/>
        </w:rPr>
        <w:t>each company constituting the Contractor has o</w:t>
      </w:r>
      <w:r>
        <w:rPr>
          <w:bCs/>
          <w:lang w:val="en-US"/>
        </w:rPr>
        <w:t>ne nomination each whereas the G</w:t>
      </w:r>
      <w:r w:rsidRPr="0065050B">
        <w:rPr>
          <w:bCs/>
          <w:lang w:val="en-US"/>
        </w:rPr>
        <w:t xml:space="preserve">overnment has two. </w:t>
      </w:r>
    </w:p>
    <w:p w:rsidR="0065050B" w:rsidRPr="0065050B" w:rsidRDefault="0065050B" w:rsidP="0065050B">
      <w:pPr>
        <w:ind w:left="737"/>
        <w:jc w:val="both"/>
        <w:rPr>
          <w:bCs/>
          <w:lang w:val="en-US"/>
        </w:rPr>
      </w:pPr>
    </w:p>
    <w:p w:rsidR="0065050B" w:rsidRPr="0065050B" w:rsidRDefault="0065050B" w:rsidP="0065050B">
      <w:pPr>
        <w:ind w:left="737"/>
        <w:jc w:val="both"/>
        <w:rPr>
          <w:bCs/>
          <w:i/>
        </w:rPr>
      </w:pPr>
      <w:r w:rsidRPr="0065050B">
        <w:rPr>
          <w:bCs/>
          <w:i/>
        </w:rPr>
        <w:t>Quorum</w:t>
      </w:r>
    </w:p>
    <w:p w:rsidR="0065050B" w:rsidRPr="0065050B" w:rsidRDefault="0065050B" w:rsidP="0065050B">
      <w:pPr>
        <w:ind w:left="737"/>
        <w:jc w:val="both"/>
        <w:rPr>
          <w:bCs/>
          <w:lang w:val="en-US"/>
        </w:rPr>
      </w:pPr>
    </w:p>
    <w:p w:rsidR="0065050B" w:rsidRPr="00E12E6D" w:rsidRDefault="0065050B" w:rsidP="00E12E6D">
      <w:pPr>
        <w:numPr>
          <w:ilvl w:val="1"/>
          <w:numId w:val="29"/>
        </w:numPr>
        <w:jc w:val="both"/>
        <w:rPr>
          <w:bCs/>
          <w:lang w:val="en-US"/>
        </w:rPr>
      </w:pPr>
      <w:r w:rsidRPr="0065050B">
        <w:rPr>
          <w:bCs/>
          <w:lang w:val="en-US"/>
        </w:rPr>
        <w:t>The number of members necessary to establish a quorum is not stated. However</w:t>
      </w:r>
      <w:r w:rsidR="00E12E6D">
        <w:rPr>
          <w:bCs/>
          <w:lang w:val="en-US"/>
        </w:rPr>
        <w:t>,</w:t>
      </w:r>
      <w:r w:rsidRPr="0065050B">
        <w:rPr>
          <w:bCs/>
          <w:lang w:val="en-US"/>
        </w:rPr>
        <w:t xml:space="preserve"> decisions </w:t>
      </w:r>
      <w:r w:rsidR="00E12E6D">
        <w:rPr>
          <w:bCs/>
          <w:lang w:val="en-US"/>
        </w:rPr>
        <w:t xml:space="preserve">taken by the Management Committee </w:t>
      </w:r>
      <w:r w:rsidRPr="0065050B">
        <w:rPr>
          <w:bCs/>
          <w:lang w:val="en-US"/>
        </w:rPr>
        <w:t xml:space="preserve">shall </w:t>
      </w:r>
      <w:r w:rsidR="00E12E6D">
        <w:rPr>
          <w:bCs/>
          <w:lang w:val="en-US"/>
        </w:rPr>
        <w:t xml:space="preserve">not </w:t>
      </w:r>
      <w:r w:rsidRPr="0065050B">
        <w:rPr>
          <w:bCs/>
          <w:lang w:val="en-US"/>
        </w:rPr>
        <w:t xml:space="preserve">be valid unless at least one representative of MOGE and one representative of the Contractor are present at the meeting. </w:t>
      </w:r>
      <w:r w:rsidRPr="00E12E6D">
        <w:rPr>
          <w:bCs/>
          <w:lang w:val="en-US"/>
        </w:rPr>
        <w:t>For the avoidance of doubt</w:t>
      </w:r>
      <w:r w:rsidR="00E12E6D" w:rsidRPr="00E12E6D">
        <w:rPr>
          <w:bCs/>
          <w:lang w:val="en-US"/>
        </w:rPr>
        <w:t xml:space="preserve">, the quorum provision could be amended to </w:t>
      </w:r>
      <w:r w:rsidR="00E12E6D">
        <w:rPr>
          <w:bCs/>
          <w:lang w:val="en-US"/>
        </w:rPr>
        <w:t xml:space="preserve">require attendance by at least </w:t>
      </w:r>
      <w:r w:rsidRPr="00E12E6D">
        <w:rPr>
          <w:bCs/>
          <w:lang w:val="en-US"/>
        </w:rPr>
        <w:t xml:space="preserve">one representative of MOGE and one representative of the Contractor </w:t>
      </w:r>
      <w:r w:rsidR="00E12E6D">
        <w:rPr>
          <w:bCs/>
          <w:lang w:val="en-US"/>
        </w:rPr>
        <w:t>(although, the practical effect of requiring the consent of representatives of both parties for any decision will be that the Management Committee cannot operate without the cooperation of both parties)</w:t>
      </w:r>
      <w:r w:rsidRPr="00E12E6D">
        <w:rPr>
          <w:bCs/>
          <w:lang w:val="en-US"/>
        </w:rPr>
        <w:t xml:space="preserve">. </w:t>
      </w:r>
    </w:p>
    <w:p w:rsidR="0065050B" w:rsidRPr="0065050B" w:rsidRDefault="0065050B" w:rsidP="00E12E6D">
      <w:pPr>
        <w:ind w:left="737"/>
        <w:jc w:val="both"/>
        <w:rPr>
          <w:bCs/>
          <w:lang w:val="en-US"/>
        </w:rPr>
      </w:pPr>
    </w:p>
    <w:p w:rsidR="0065050B" w:rsidRPr="00E12E6D" w:rsidRDefault="0065050B" w:rsidP="00E12E6D">
      <w:pPr>
        <w:ind w:left="737"/>
        <w:jc w:val="both"/>
        <w:rPr>
          <w:bCs/>
          <w:i/>
        </w:rPr>
      </w:pPr>
      <w:r w:rsidRPr="00E12E6D">
        <w:rPr>
          <w:bCs/>
          <w:i/>
        </w:rPr>
        <w:t>Place</w:t>
      </w:r>
      <w:r w:rsidR="00E12E6D">
        <w:rPr>
          <w:bCs/>
          <w:i/>
        </w:rPr>
        <w:t xml:space="preserve"> and procedure for m</w:t>
      </w:r>
      <w:r w:rsidRPr="00E12E6D">
        <w:rPr>
          <w:bCs/>
          <w:i/>
        </w:rPr>
        <w:t>eeting</w:t>
      </w:r>
      <w:r w:rsidR="00E12E6D">
        <w:rPr>
          <w:bCs/>
          <w:i/>
        </w:rPr>
        <w:t>s</w:t>
      </w:r>
      <w:r w:rsidRPr="00E12E6D">
        <w:rPr>
          <w:bCs/>
          <w:i/>
        </w:rPr>
        <w:t xml:space="preserve"> </w:t>
      </w:r>
      <w:r w:rsidR="00E12E6D">
        <w:rPr>
          <w:bCs/>
          <w:i/>
        </w:rPr>
        <w:t xml:space="preserve">of the Management Committee </w:t>
      </w:r>
      <w:r w:rsidRPr="00E12E6D">
        <w:rPr>
          <w:bCs/>
          <w:i/>
        </w:rPr>
        <w:t xml:space="preserve"> </w:t>
      </w:r>
    </w:p>
    <w:p w:rsidR="0065050B" w:rsidRPr="0065050B" w:rsidRDefault="0065050B" w:rsidP="00E12E6D">
      <w:pPr>
        <w:ind w:left="737"/>
        <w:jc w:val="both"/>
        <w:rPr>
          <w:bCs/>
        </w:rPr>
      </w:pPr>
    </w:p>
    <w:p w:rsidR="00027EC1" w:rsidRDefault="0065050B" w:rsidP="00027EC1">
      <w:pPr>
        <w:numPr>
          <w:ilvl w:val="1"/>
          <w:numId w:val="29"/>
        </w:numPr>
        <w:jc w:val="both"/>
        <w:rPr>
          <w:bCs/>
          <w:lang w:val="en-US"/>
        </w:rPr>
      </w:pPr>
      <w:r w:rsidRPr="0065050B">
        <w:rPr>
          <w:bCs/>
          <w:lang w:val="en-US"/>
        </w:rPr>
        <w:t xml:space="preserve">The location at which </w:t>
      </w:r>
      <w:r w:rsidR="00027EC1">
        <w:rPr>
          <w:bCs/>
          <w:lang w:val="en-US"/>
        </w:rPr>
        <w:t>M</w:t>
      </w:r>
      <w:r w:rsidRPr="0065050B">
        <w:rPr>
          <w:bCs/>
          <w:lang w:val="en-US"/>
        </w:rPr>
        <w:t xml:space="preserve">anagement </w:t>
      </w:r>
      <w:r w:rsidR="00027EC1">
        <w:rPr>
          <w:bCs/>
          <w:lang w:val="en-US"/>
        </w:rPr>
        <w:t>C</w:t>
      </w:r>
      <w:r w:rsidRPr="0065050B">
        <w:rPr>
          <w:bCs/>
          <w:lang w:val="en-US"/>
        </w:rPr>
        <w:t xml:space="preserve">ommittee meetings </w:t>
      </w:r>
      <w:r w:rsidR="00027EC1">
        <w:rPr>
          <w:bCs/>
          <w:lang w:val="en-US"/>
        </w:rPr>
        <w:t>are</w:t>
      </w:r>
      <w:r w:rsidRPr="0065050B">
        <w:rPr>
          <w:bCs/>
          <w:lang w:val="en-US"/>
        </w:rPr>
        <w:t xml:space="preserve"> </w:t>
      </w:r>
      <w:r w:rsidR="00027EC1">
        <w:rPr>
          <w:bCs/>
          <w:lang w:val="en-US"/>
        </w:rPr>
        <w:t xml:space="preserve">to </w:t>
      </w:r>
      <w:r w:rsidRPr="0065050B">
        <w:rPr>
          <w:bCs/>
          <w:lang w:val="en-US"/>
        </w:rPr>
        <w:t xml:space="preserve">take place is not specified. Nor is it specified whether or not members can attend by video or telephone or by any other means of online communication. </w:t>
      </w:r>
    </w:p>
    <w:p w:rsidR="00027EC1" w:rsidRDefault="00027EC1" w:rsidP="00027EC1">
      <w:pPr>
        <w:ind w:left="737"/>
        <w:jc w:val="both"/>
        <w:rPr>
          <w:bCs/>
          <w:lang w:val="en-US"/>
        </w:rPr>
      </w:pPr>
    </w:p>
    <w:p w:rsidR="00F06F33" w:rsidRPr="00F06F33" w:rsidRDefault="00F06F33" w:rsidP="00E115EC">
      <w:pPr>
        <w:numPr>
          <w:ilvl w:val="0"/>
          <w:numId w:val="29"/>
        </w:numPr>
        <w:jc w:val="both"/>
        <w:rPr>
          <w:b/>
          <w:bCs/>
          <w:lang w:val="en-US"/>
        </w:rPr>
      </w:pPr>
      <w:r w:rsidRPr="00F06F33">
        <w:rPr>
          <w:b/>
          <w:bCs/>
          <w:lang w:val="en-US"/>
        </w:rPr>
        <w:t>State participation</w:t>
      </w:r>
      <w:r w:rsidR="00027EC1">
        <w:rPr>
          <w:b/>
          <w:bCs/>
          <w:lang w:val="en-US"/>
        </w:rPr>
        <w:t xml:space="preserve"> (section 19)</w:t>
      </w:r>
    </w:p>
    <w:p w:rsidR="00F06F33" w:rsidRPr="00F06F33" w:rsidRDefault="00F06F33" w:rsidP="00E115EC">
      <w:pPr>
        <w:ind w:left="737"/>
        <w:jc w:val="both"/>
        <w:rPr>
          <w:b/>
          <w:bCs/>
          <w:lang w:val="en-US"/>
        </w:rPr>
      </w:pPr>
    </w:p>
    <w:p w:rsidR="00F06F33" w:rsidRPr="00027EC1" w:rsidRDefault="00F06F33" w:rsidP="00F06F33">
      <w:pPr>
        <w:numPr>
          <w:ilvl w:val="1"/>
          <w:numId w:val="29"/>
        </w:numPr>
        <w:ind w:hanging="750"/>
        <w:jc w:val="both"/>
        <w:rPr>
          <w:bCs/>
          <w:lang w:val="en-US"/>
        </w:rPr>
      </w:pPr>
      <w:r w:rsidRPr="00027EC1">
        <w:rPr>
          <w:bCs/>
          <w:lang w:val="en-US"/>
        </w:rPr>
        <w:t xml:space="preserve">Section 19 of the </w:t>
      </w:r>
      <w:r w:rsidR="00027EC1" w:rsidRPr="00027EC1">
        <w:rPr>
          <w:bCs/>
          <w:lang w:val="en-US"/>
        </w:rPr>
        <w:t xml:space="preserve">Myanmar </w:t>
      </w:r>
      <w:r w:rsidRPr="00027EC1">
        <w:rPr>
          <w:bCs/>
          <w:lang w:val="en-US"/>
        </w:rPr>
        <w:t xml:space="preserve">PSC provides that MOGE will have the option to take between 15 </w:t>
      </w:r>
      <w:r w:rsidR="00027EC1" w:rsidRPr="00027EC1">
        <w:rPr>
          <w:bCs/>
          <w:lang w:val="en-US"/>
        </w:rPr>
        <w:t>to</w:t>
      </w:r>
      <w:r w:rsidRPr="00027EC1">
        <w:rPr>
          <w:bCs/>
          <w:lang w:val="en-US"/>
        </w:rPr>
        <w:t xml:space="preserve"> 25% interest, exercisable within </w:t>
      </w:r>
      <w:r w:rsidR="00027EC1" w:rsidRPr="00027EC1">
        <w:rPr>
          <w:bCs/>
          <w:lang w:val="en-US"/>
        </w:rPr>
        <w:t>three</w:t>
      </w:r>
      <w:r w:rsidRPr="00027EC1">
        <w:rPr>
          <w:bCs/>
          <w:lang w:val="en-US"/>
        </w:rPr>
        <w:t xml:space="preserve"> months after Contractor’s notification of its first Discovery within the Contract Area.</w:t>
      </w:r>
      <w:r w:rsidR="00027EC1" w:rsidRPr="00027EC1">
        <w:rPr>
          <w:bCs/>
          <w:lang w:val="en-US"/>
        </w:rPr>
        <w:t xml:space="preserve"> </w:t>
      </w:r>
      <w:r w:rsidRPr="00027EC1">
        <w:rPr>
          <w:bCs/>
          <w:lang w:val="en-US"/>
        </w:rPr>
        <w:t xml:space="preserve">Some potential amendments </w:t>
      </w:r>
      <w:r w:rsidR="00027EC1">
        <w:rPr>
          <w:bCs/>
          <w:lang w:val="en-US"/>
        </w:rPr>
        <w:t xml:space="preserve">and </w:t>
      </w:r>
      <w:r w:rsidRPr="00027EC1">
        <w:rPr>
          <w:bCs/>
          <w:lang w:val="en-US"/>
        </w:rPr>
        <w:t xml:space="preserve">points to clarify </w:t>
      </w:r>
      <w:r w:rsidR="00027EC1">
        <w:rPr>
          <w:bCs/>
          <w:lang w:val="en-US"/>
        </w:rPr>
        <w:t xml:space="preserve">in relation to the state participation provisions </w:t>
      </w:r>
      <w:r w:rsidRPr="00027EC1">
        <w:rPr>
          <w:bCs/>
          <w:lang w:val="en-US"/>
        </w:rPr>
        <w:t>are discussed below.</w:t>
      </w:r>
    </w:p>
    <w:p w:rsidR="00F06F33" w:rsidRPr="00F06F33" w:rsidRDefault="00F06F33" w:rsidP="00E115EC">
      <w:pPr>
        <w:ind w:left="737"/>
        <w:jc w:val="both"/>
        <w:rPr>
          <w:bCs/>
          <w:lang w:val="en-US"/>
        </w:rPr>
      </w:pPr>
      <w:r w:rsidRPr="00F06F33">
        <w:rPr>
          <w:bCs/>
          <w:lang w:val="en-US"/>
        </w:rPr>
        <w:t xml:space="preserve"> </w:t>
      </w:r>
    </w:p>
    <w:p w:rsidR="00F06F33" w:rsidRPr="00F06F33" w:rsidRDefault="00F06F33" w:rsidP="00E115EC">
      <w:pPr>
        <w:ind w:left="737"/>
        <w:jc w:val="both"/>
        <w:rPr>
          <w:bCs/>
          <w:i/>
          <w:lang w:val="en-US"/>
        </w:rPr>
      </w:pPr>
      <w:r w:rsidRPr="00F06F33">
        <w:rPr>
          <w:bCs/>
          <w:i/>
          <w:lang w:val="en-US"/>
        </w:rPr>
        <w:t>Assignment</w:t>
      </w:r>
    </w:p>
    <w:p w:rsidR="00F06F33" w:rsidRPr="00F06F33" w:rsidRDefault="00F06F33" w:rsidP="00E115EC">
      <w:pPr>
        <w:ind w:left="737"/>
        <w:jc w:val="both"/>
        <w:rPr>
          <w:b/>
          <w:bCs/>
          <w:i/>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To the extent that, following exercise of the participation option, MOGE’s participating interest is assignable, </w:t>
      </w:r>
      <w:r w:rsidR="00282AE2">
        <w:t>Contractor</w:t>
      </w:r>
      <w:r w:rsidR="00282AE2" w:rsidRPr="00F06F33">
        <w:rPr>
          <w:bCs/>
          <w:lang w:val="en-US"/>
        </w:rPr>
        <w:t xml:space="preserve"> </w:t>
      </w:r>
      <w:r w:rsidRPr="00F06F33">
        <w:rPr>
          <w:bCs/>
          <w:lang w:val="en-US"/>
        </w:rPr>
        <w:t xml:space="preserve">may consider to stipulate in the </w:t>
      </w:r>
      <w:r w:rsidR="00027EC1">
        <w:rPr>
          <w:bCs/>
          <w:lang w:val="en-US"/>
        </w:rPr>
        <w:t xml:space="preserve">Myanmar </w:t>
      </w:r>
      <w:r w:rsidRPr="00F06F33">
        <w:rPr>
          <w:bCs/>
          <w:lang w:val="en-US"/>
        </w:rPr>
        <w:t xml:space="preserve">PSC that </w:t>
      </w:r>
      <w:r w:rsidR="00027EC1">
        <w:rPr>
          <w:bCs/>
          <w:lang w:val="en-US"/>
        </w:rPr>
        <w:t xml:space="preserve">the </w:t>
      </w:r>
      <w:r w:rsidRPr="00F06F33">
        <w:rPr>
          <w:bCs/>
          <w:lang w:val="en-US"/>
        </w:rPr>
        <w:t xml:space="preserve">Contractor will be entitled to require any proposed third party assignee </w:t>
      </w:r>
      <w:r w:rsidR="00027EC1">
        <w:rPr>
          <w:bCs/>
          <w:lang w:val="en-US"/>
        </w:rPr>
        <w:t xml:space="preserve">to </w:t>
      </w:r>
      <w:r w:rsidRPr="00F06F33">
        <w:rPr>
          <w:bCs/>
          <w:lang w:val="en-US"/>
        </w:rPr>
        <w:t>demonstrate that it has the financial capability to perform its payment obligations under the PSC (and any joint operating agreement) (</w:t>
      </w:r>
      <w:r w:rsidR="00027EC1">
        <w:rPr>
          <w:bCs/>
          <w:lang w:val="en-US"/>
        </w:rPr>
        <w:t xml:space="preserve">an example of a similar requirement is contained in the </w:t>
      </w:r>
      <w:r w:rsidRPr="00F06F33">
        <w:rPr>
          <w:bCs/>
          <w:lang w:val="en-US"/>
        </w:rPr>
        <w:t xml:space="preserve">Kurdistan PSC). </w:t>
      </w:r>
    </w:p>
    <w:p w:rsidR="00F06F33" w:rsidRPr="00F06F33" w:rsidRDefault="00F06F33" w:rsidP="00E115EC">
      <w:pPr>
        <w:ind w:left="737"/>
        <w:jc w:val="both"/>
        <w:rPr>
          <w:bCs/>
          <w:lang w:val="en-US"/>
        </w:rPr>
      </w:pPr>
    </w:p>
    <w:p w:rsidR="00F06F33" w:rsidRPr="00F06F33" w:rsidRDefault="00282AE2" w:rsidP="00F06F33">
      <w:pPr>
        <w:numPr>
          <w:ilvl w:val="1"/>
          <w:numId w:val="29"/>
        </w:numPr>
        <w:ind w:hanging="750"/>
        <w:jc w:val="both"/>
        <w:rPr>
          <w:bCs/>
          <w:lang w:val="en-US"/>
        </w:rPr>
      </w:pPr>
      <w:r>
        <w:t>Contractor</w:t>
      </w:r>
      <w:r w:rsidRPr="00F06F33">
        <w:rPr>
          <w:bCs/>
          <w:lang w:val="en-US"/>
        </w:rPr>
        <w:t xml:space="preserve"> </w:t>
      </w:r>
      <w:r w:rsidR="00F06F33" w:rsidRPr="00F06F33">
        <w:rPr>
          <w:bCs/>
          <w:lang w:val="en-US"/>
        </w:rPr>
        <w:t>may also want to clarify that MOGE’s option to participate is not itself assignable (see</w:t>
      </w:r>
      <w:r w:rsidR="00027EC1">
        <w:rPr>
          <w:bCs/>
          <w:lang w:val="en-US"/>
        </w:rPr>
        <w:t xml:space="preserve">, for example, </w:t>
      </w:r>
      <w:r w:rsidR="00F06F33" w:rsidRPr="00F06F33">
        <w:rPr>
          <w:bCs/>
          <w:lang w:val="en-US"/>
        </w:rPr>
        <w:t>the Kurdistan PSC).</w:t>
      </w:r>
    </w:p>
    <w:p w:rsidR="00F06F33" w:rsidRPr="00F06F33" w:rsidRDefault="00F06F33" w:rsidP="00E115EC">
      <w:pPr>
        <w:ind w:left="737"/>
        <w:jc w:val="both"/>
        <w:rPr>
          <w:bCs/>
          <w:lang w:val="en-US"/>
        </w:rPr>
      </w:pPr>
    </w:p>
    <w:p w:rsidR="00F06F33" w:rsidRPr="00F06F33" w:rsidRDefault="00F06F33" w:rsidP="00E115EC">
      <w:pPr>
        <w:ind w:left="737"/>
        <w:jc w:val="both"/>
        <w:rPr>
          <w:bCs/>
          <w:i/>
          <w:lang w:val="en-US"/>
        </w:rPr>
      </w:pPr>
      <w:r w:rsidRPr="00F06F33">
        <w:rPr>
          <w:bCs/>
          <w:i/>
          <w:lang w:val="en-US"/>
        </w:rPr>
        <w:t>Reimbursement of expenses</w:t>
      </w:r>
    </w:p>
    <w:p w:rsidR="00F06F33" w:rsidRPr="00F06F33" w:rsidRDefault="00F06F33" w:rsidP="00E115EC">
      <w:pPr>
        <w:ind w:left="737"/>
        <w:jc w:val="both"/>
        <w:rPr>
          <w:bCs/>
          <w:i/>
          <w:lang w:val="en-US"/>
        </w:rPr>
      </w:pPr>
    </w:p>
    <w:p w:rsidR="005B4761" w:rsidRDefault="005B4761" w:rsidP="00F06F33">
      <w:pPr>
        <w:numPr>
          <w:ilvl w:val="1"/>
          <w:numId w:val="29"/>
        </w:numPr>
        <w:ind w:hanging="750"/>
        <w:jc w:val="both"/>
        <w:rPr>
          <w:bCs/>
          <w:lang w:val="en-US"/>
        </w:rPr>
      </w:pPr>
      <w:r>
        <w:rPr>
          <w:bCs/>
          <w:lang w:val="en-US"/>
        </w:rPr>
        <w:t>Under section 19.6 of the Myanmar PSC, if MOGE elects to exercise its participation option, it must reimburse the Contractor for its portion of previously incurred and ongoing Petroleum Costs and the Signature Bonus. However, t</w:t>
      </w:r>
      <w:r w:rsidR="00F06F33" w:rsidRPr="00F06F33">
        <w:rPr>
          <w:bCs/>
          <w:lang w:val="en-US"/>
        </w:rPr>
        <w:t xml:space="preserve">here is no specific time limit on reimbursement of Petroleum Costs and Signature Bonus under section 19.6. </w:t>
      </w:r>
      <w:r w:rsidR="00282AE2">
        <w:t>Contractor</w:t>
      </w:r>
      <w:r w:rsidR="00282AE2" w:rsidRPr="00F06F33">
        <w:rPr>
          <w:bCs/>
          <w:lang w:val="en-US"/>
        </w:rPr>
        <w:t xml:space="preserve"> </w:t>
      </w:r>
      <w:r w:rsidR="00F06F33" w:rsidRPr="00F06F33">
        <w:rPr>
          <w:bCs/>
          <w:lang w:val="en-US"/>
        </w:rPr>
        <w:t>may wish to stipulate the time limit for such reimbursements</w:t>
      </w:r>
      <w:r>
        <w:rPr>
          <w:bCs/>
          <w:lang w:val="en-US"/>
        </w:rPr>
        <w:t xml:space="preserve">. </w:t>
      </w:r>
    </w:p>
    <w:p w:rsidR="005B4761" w:rsidRDefault="005B4761" w:rsidP="005B4761">
      <w:pPr>
        <w:ind w:left="737"/>
        <w:jc w:val="both"/>
        <w:rPr>
          <w:bCs/>
          <w:lang w:val="en-US"/>
        </w:rPr>
      </w:pPr>
    </w:p>
    <w:p w:rsidR="00F06F33" w:rsidRPr="00F06F33" w:rsidRDefault="005B4761" w:rsidP="00F06F33">
      <w:pPr>
        <w:numPr>
          <w:ilvl w:val="1"/>
          <w:numId w:val="29"/>
        </w:numPr>
        <w:ind w:hanging="750"/>
        <w:jc w:val="both"/>
        <w:rPr>
          <w:bCs/>
          <w:lang w:val="en-US"/>
        </w:rPr>
      </w:pPr>
      <w:r>
        <w:rPr>
          <w:bCs/>
          <w:lang w:val="en-US"/>
        </w:rPr>
        <w:t xml:space="preserve">For example, </w:t>
      </w:r>
      <w:r w:rsidR="00F06F33" w:rsidRPr="00F06F33">
        <w:rPr>
          <w:bCs/>
          <w:lang w:val="en-US"/>
        </w:rPr>
        <w:t xml:space="preserve">the Mauritania PSC requires such reimbursements to be made by the Government within 18 months from the effective date of the corresponding option (without bearing interest), </w:t>
      </w:r>
      <w:r>
        <w:rPr>
          <w:bCs/>
          <w:lang w:val="en-US"/>
        </w:rPr>
        <w:t xml:space="preserve">stipulates </w:t>
      </w:r>
      <w:r w:rsidR="00F06F33" w:rsidRPr="00F06F33">
        <w:rPr>
          <w:bCs/>
          <w:lang w:val="en-US"/>
        </w:rPr>
        <w:t xml:space="preserve">the currency for such reimbursements (US Dollars), and allows the Government to reimburse in cash or in kind. The Mauritania PSC also clarifies that </w:t>
      </w:r>
      <w:r>
        <w:rPr>
          <w:bCs/>
          <w:lang w:val="en-US"/>
        </w:rPr>
        <w:t xml:space="preserve">the </w:t>
      </w:r>
      <w:r w:rsidR="00F06F33" w:rsidRPr="00F06F33">
        <w:rPr>
          <w:bCs/>
          <w:lang w:val="en-US"/>
        </w:rPr>
        <w:t xml:space="preserve">contractor will not be subject to any tax in respect of such reimbursements. </w:t>
      </w:r>
    </w:p>
    <w:p w:rsidR="00F06F33" w:rsidRPr="00F06F33" w:rsidRDefault="00F06F33" w:rsidP="00E115EC">
      <w:pPr>
        <w:ind w:left="737"/>
        <w:jc w:val="both"/>
        <w:rPr>
          <w:bCs/>
          <w:lang w:val="en-US"/>
        </w:rPr>
      </w:pPr>
    </w:p>
    <w:p w:rsidR="00F06F33" w:rsidRPr="00F06F33" w:rsidRDefault="005B4761" w:rsidP="00F06F33">
      <w:pPr>
        <w:numPr>
          <w:ilvl w:val="1"/>
          <w:numId w:val="29"/>
        </w:numPr>
        <w:ind w:hanging="750"/>
        <w:jc w:val="both"/>
        <w:rPr>
          <w:bCs/>
          <w:lang w:val="en-US"/>
        </w:rPr>
      </w:pPr>
      <w:r>
        <w:rPr>
          <w:bCs/>
          <w:lang w:val="en-US"/>
        </w:rPr>
        <w:t xml:space="preserve">The Tanzania PSC </w:t>
      </w:r>
      <w:r w:rsidR="00F06F33" w:rsidRPr="00F06F33">
        <w:rPr>
          <w:bCs/>
          <w:lang w:val="en-US"/>
        </w:rPr>
        <w:t xml:space="preserve">provides that if the national company defaults of payment of contract expenses, </w:t>
      </w:r>
      <w:r>
        <w:rPr>
          <w:bCs/>
          <w:lang w:val="en-US"/>
        </w:rPr>
        <w:t xml:space="preserve">the </w:t>
      </w:r>
      <w:r w:rsidR="00F06F33" w:rsidRPr="00F06F33">
        <w:rPr>
          <w:bCs/>
          <w:lang w:val="en-US"/>
        </w:rPr>
        <w:t xml:space="preserve">contractor must loan the unpaid amount, which shall bear </w:t>
      </w:r>
      <w:r w:rsidR="00F06F33" w:rsidRPr="00F06F33">
        <w:rPr>
          <w:bCs/>
          <w:lang w:val="en-US"/>
        </w:rPr>
        <w:lastRenderedPageBreak/>
        <w:t>interest at LIBOR plus 2%, to be recovered on a preferential basis from the national company’s share of profit oil / gas.</w:t>
      </w:r>
    </w:p>
    <w:p w:rsidR="00F06F33" w:rsidRPr="00F06F33" w:rsidRDefault="00F06F33" w:rsidP="00E115EC">
      <w:pPr>
        <w:ind w:left="737"/>
        <w:jc w:val="both"/>
        <w:rPr>
          <w:bCs/>
          <w:lang w:val="en-US"/>
        </w:rPr>
      </w:pPr>
    </w:p>
    <w:p w:rsidR="00F06F33" w:rsidRPr="00F06F33" w:rsidRDefault="00F06F33" w:rsidP="00E115EC">
      <w:pPr>
        <w:ind w:left="737"/>
        <w:jc w:val="both"/>
        <w:rPr>
          <w:bCs/>
          <w:i/>
          <w:lang w:val="en-US"/>
        </w:rPr>
      </w:pPr>
      <w:r w:rsidRPr="00F06F33">
        <w:rPr>
          <w:bCs/>
          <w:i/>
          <w:lang w:val="en-US"/>
        </w:rPr>
        <w:t>Default by national company</w:t>
      </w:r>
    </w:p>
    <w:p w:rsidR="00F06F33" w:rsidRPr="00F06F33" w:rsidRDefault="00F06F33" w:rsidP="00E115EC">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Certain PSCs clarify that any default of the national company will not be considered as a default by the contractor that would allow the Government to terminate the PSC (see, for example, the Mauritania </w:t>
      </w:r>
      <w:r w:rsidR="009E106B">
        <w:rPr>
          <w:bCs/>
          <w:lang w:val="en-US"/>
        </w:rPr>
        <w:t xml:space="preserve">and </w:t>
      </w:r>
      <w:r w:rsidRPr="00F06F33">
        <w:rPr>
          <w:bCs/>
          <w:lang w:val="en-US"/>
        </w:rPr>
        <w:t>Kurdistan PS</w:t>
      </w:r>
      <w:r w:rsidR="009E106B">
        <w:rPr>
          <w:bCs/>
          <w:lang w:val="en-US"/>
        </w:rPr>
        <w:t>Cs)</w:t>
      </w:r>
      <w:r w:rsidRPr="00F06F33">
        <w:rPr>
          <w:bCs/>
          <w:lang w:val="en-US"/>
        </w:rPr>
        <w:t xml:space="preserve">. </w:t>
      </w:r>
    </w:p>
    <w:p w:rsidR="00F06F33" w:rsidRPr="00F06F33" w:rsidRDefault="00F06F33" w:rsidP="00E115EC">
      <w:pPr>
        <w:ind w:left="737"/>
        <w:jc w:val="both"/>
        <w:rPr>
          <w:bCs/>
          <w:lang w:val="en-US"/>
        </w:rPr>
      </w:pPr>
    </w:p>
    <w:p w:rsidR="00F06F33" w:rsidRPr="00F06F33" w:rsidRDefault="00F06F33" w:rsidP="00E115EC">
      <w:pPr>
        <w:ind w:left="737"/>
        <w:jc w:val="both"/>
        <w:rPr>
          <w:bCs/>
          <w:i/>
          <w:lang w:val="en-US"/>
        </w:rPr>
      </w:pPr>
      <w:r w:rsidRPr="00F06F33">
        <w:rPr>
          <w:bCs/>
          <w:i/>
          <w:lang w:val="en-US"/>
        </w:rPr>
        <w:t>Relationship with arbitration provisions</w:t>
      </w:r>
    </w:p>
    <w:p w:rsidR="00F06F33" w:rsidRPr="00F06F33" w:rsidRDefault="00F06F33" w:rsidP="00E115EC">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It is also typical in PSCs to include an express provision to the effect that the capacity of the national company as a contractor entity does not affe</w:t>
      </w:r>
      <w:r w:rsidR="009E106B">
        <w:rPr>
          <w:bCs/>
          <w:lang w:val="en-US"/>
        </w:rPr>
        <w:t>c</w:t>
      </w:r>
      <w:r w:rsidRPr="00F06F33">
        <w:rPr>
          <w:bCs/>
          <w:lang w:val="en-US"/>
        </w:rPr>
        <w:t>t the rights of other contractor entities to refer any dispute to arbitration in accordance with the applicable arbitration clause (see</w:t>
      </w:r>
      <w:r w:rsidR="009E106B">
        <w:rPr>
          <w:bCs/>
          <w:lang w:val="en-US"/>
        </w:rPr>
        <w:t>,</w:t>
      </w:r>
      <w:r w:rsidRPr="00F06F33">
        <w:rPr>
          <w:bCs/>
          <w:lang w:val="en-US"/>
        </w:rPr>
        <w:t xml:space="preserve"> for example</w:t>
      </w:r>
      <w:r w:rsidR="009E106B">
        <w:rPr>
          <w:bCs/>
          <w:lang w:val="en-US"/>
        </w:rPr>
        <w:t>,</w:t>
      </w:r>
      <w:r w:rsidRPr="00F06F33">
        <w:rPr>
          <w:bCs/>
          <w:lang w:val="en-US"/>
        </w:rPr>
        <w:t xml:space="preserve"> the </w:t>
      </w:r>
      <w:r w:rsidR="009E106B">
        <w:rPr>
          <w:bCs/>
          <w:lang w:val="en-US"/>
        </w:rPr>
        <w:t xml:space="preserve">Mauritania and </w:t>
      </w:r>
      <w:r w:rsidRPr="00F06F33">
        <w:rPr>
          <w:bCs/>
          <w:lang w:val="en-US"/>
        </w:rPr>
        <w:t>Kurdistan PSC</w:t>
      </w:r>
      <w:r w:rsidR="009E106B">
        <w:rPr>
          <w:bCs/>
          <w:lang w:val="en-US"/>
        </w:rPr>
        <w:t>s)</w:t>
      </w:r>
      <w:r w:rsidRPr="00F06F33">
        <w:rPr>
          <w:bCs/>
          <w:lang w:val="en-US"/>
        </w:rPr>
        <w:t xml:space="preserve">. </w:t>
      </w:r>
    </w:p>
    <w:p w:rsidR="00F06F33" w:rsidRPr="00F06F33" w:rsidRDefault="00F06F33" w:rsidP="00E115EC">
      <w:pPr>
        <w:ind w:left="737"/>
        <w:jc w:val="both"/>
        <w:rPr>
          <w:bCs/>
          <w:lang w:val="en-US"/>
        </w:rPr>
      </w:pPr>
    </w:p>
    <w:p w:rsidR="003102BD" w:rsidRPr="003102BD" w:rsidRDefault="003102BD" w:rsidP="003102BD">
      <w:pPr>
        <w:numPr>
          <w:ilvl w:val="0"/>
          <w:numId w:val="29"/>
        </w:numPr>
        <w:jc w:val="both"/>
        <w:rPr>
          <w:b/>
          <w:bCs/>
        </w:rPr>
      </w:pPr>
      <w:r w:rsidRPr="003102BD">
        <w:rPr>
          <w:rFonts w:hint="eastAsia"/>
          <w:b/>
          <w:bCs/>
          <w:i/>
        </w:rPr>
        <w:t>F</w:t>
      </w:r>
      <w:r w:rsidRPr="003102BD">
        <w:rPr>
          <w:b/>
          <w:bCs/>
          <w:i/>
        </w:rPr>
        <w:t>orce</w:t>
      </w:r>
      <w:r w:rsidRPr="003102BD">
        <w:rPr>
          <w:rFonts w:hint="eastAsia"/>
          <w:b/>
          <w:bCs/>
          <w:i/>
        </w:rPr>
        <w:t xml:space="preserve"> majeure</w:t>
      </w:r>
      <w:r>
        <w:rPr>
          <w:rFonts w:hint="eastAsia"/>
          <w:b/>
          <w:bCs/>
        </w:rPr>
        <w:t xml:space="preserve"> (section 20)</w:t>
      </w:r>
    </w:p>
    <w:p w:rsidR="003102BD" w:rsidRPr="003102BD" w:rsidRDefault="003102BD" w:rsidP="003102BD">
      <w:pPr>
        <w:ind w:left="737"/>
        <w:jc w:val="both"/>
        <w:rPr>
          <w:b/>
          <w:bCs/>
          <w:i/>
          <w:lang w:val="en-US"/>
        </w:rPr>
      </w:pPr>
    </w:p>
    <w:p w:rsidR="003102BD" w:rsidRPr="003102BD" w:rsidRDefault="003102BD" w:rsidP="003102BD">
      <w:pPr>
        <w:numPr>
          <w:ilvl w:val="1"/>
          <w:numId w:val="29"/>
        </w:numPr>
        <w:jc w:val="both"/>
        <w:rPr>
          <w:bCs/>
          <w:lang w:val="en-US"/>
        </w:rPr>
      </w:pPr>
      <w:r>
        <w:rPr>
          <w:bCs/>
          <w:lang w:val="en-US"/>
        </w:rPr>
        <w:t xml:space="preserve">Although the </w:t>
      </w:r>
      <w:r>
        <w:rPr>
          <w:bCs/>
          <w:i/>
          <w:lang w:val="en-US"/>
        </w:rPr>
        <w:t xml:space="preserve">force majeure </w:t>
      </w:r>
      <w:r w:rsidRPr="003102BD">
        <w:rPr>
          <w:bCs/>
          <w:lang w:val="en-US"/>
        </w:rPr>
        <w:t xml:space="preserve">provisions </w:t>
      </w:r>
      <w:r>
        <w:rPr>
          <w:bCs/>
          <w:lang w:val="en-US"/>
        </w:rPr>
        <w:t xml:space="preserve">as set out in section 20 of the Myanmar PSC </w:t>
      </w:r>
      <w:r w:rsidRPr="003102BD">
        <w:rPr>
          <w:bCs/>
          <w:lang w:val="en-US"/>
        </w:rPr>
        <w:t>are broadly acceptable</w:t>
      </w:r>
      <w:r>
        <w:rPr>
          <w:bCs/>
          <w:lang w:val="en-US"/>
        </w:rPr>
        <w:t>, s</w:t>
      </w:r>
      <w:r w:rsidRPr="003102BD">
        <w:rPr>
          <w:bCs/>
          <w:lang w:val="en-US"/>
        </w:rPr>
        <w:t xml:space="preserve">ome possible amendments and improvements </w:t>
      </w:r>
      <w:r w:rsidR="00282AE2">
        <w:t>Contractor</w:t>
      </w:r>
      <w:r w:rsidR="00282AE2" w:rsidRPr="003102BD">
        <w:rPr>
          <w:bCs/>
          <w:lang w:val="en-US"/>
        </w:rPr>
        <w:t xml:space="preserve"> </w:t>
      </w:r>
      <w:r w:rsidRPr="003102BD">
        <w:rPr>
          <w:bCs/>
          <w:lang w:val="en-US"/>
        </w:rPr>
        <w:t>may consider</w:t>
      </w:r>
      <w:r>
        <w:rPr>
          <w:bCs/>
          <w:lang w:val="en-US"/>
        </w:rPr>
        <w:t xml:space="preserve"> are discussed below.</w:t>
      </w:r>
    </w:p>
    <w:p w:rsidR="003102BD" w:rsidRDefault="003102BD" w:rsidP="003102BD">
      <w:pPr>
        <w:jc w:val="both"/>
        <w:rPr>
          <w:bCs/>
          <w:lang w:val="en-US"/>
        </w:rPr>
      </w:pPr>
    </w:p>
    <w:p w:rsidR="003102BD" w:rsidRDefault="003102BD" w:rsidP="003102BD">
      <w:pPr>
        <w:ind w:firstLine="720"/>
        <w:jc w:val="both"/>
        <w:rPr>
          <w:bCs/>
          <w:i/>
          <w:lang w:val="en-US"/>
        </w:rPr>
      </w:pPr>
      <w:r w:rsidRPr="003102BD">
        <w:rPr>
          <w:bCs/>
          <w:i/>
          <w:lang w:val="en-US"/>
        </w:rPr>
        <w:t>Extension of time</w:t>
      </w:r>
    </w:p>
    <w:p w:rsidR="003102BD" w:rsidRPr="003102BD" w:rsidRDefault="003102BD" w:rsidP="003102BD">
      <w:pPr>
        <w:ind w:firstLine="720"/>
        <w:jc w:val="both"/>
        <w:rPr>
          <w:bCs/>
          <w:i/>
          <w:lang w:val="en-US"/>
        </w:rPr>
      </w:pPr>
    </w:p>
    <w:p w:rsidR="003102BD" w:rsidRPr="003102BD" w:rsidRDefault="00282AE2" w:rsidP="003102BD">
      <w:pPr>
        <w:numPr>
          <w:ilvl w:val="1"/>
          <w:numId w:val="29"/>
        </w:numPr>
        <w:jc w:val="both"/>
        <w:rPr>
          <w:bCs/>
          <w:lang w:val="en-US"/>
        </w:rPr>
      </w:pPr>
      <w:r>
        <w:t>Contractor</w:t>
      </w:r>
      <w:r>
        <w:rPr>
          <w:bCs/>
          <w:lang w:val="en-US"/>
        </w:rPr>
        <w:t xml:space="preserve"> </w:t>
      </w:r>
      <w:r w:rsidR="003102BD">
        <w:rPr>
          <w:bCs/>
          <w:lang w:val="en-US"/>
        </w:rPr>
        <w:t>may consider an “extension of time” p</w:t>
      </w:r>
      <w:r w:rsidR="003102BD" w:rsidRPr="003102BD">
        <w:rPr>
          <w:bCs/>
          <w:lang w:val="en-US"/>
        </w:rPr>
        <w:t xml:space="preserve">rovision to the effect that the Myanmar PSC </w:t>
      </w:r>
      <w:r w:rsidR="003102BD">
        <w:rPr>
          <w:bCs/>
          <w:lang w:val="en-US"/>
        </w:rPr>
        <w:t xml:space="preserve">(and any applicable exploration or development and production period) </w:t>
      </w:r>
      <w:r w:rsidR="003102BD" w:rsidRPr="003102BD">
        <w:rPr>
          <w:bCs/>
          <w:lang w:val="en-US"/>
        </w:rPr>
        <w:t xml:space="preserve">shall be extended by a period corresponding to the duration of the </w:t>
      </w:r>
      <w:r w:rsidR="003102BD" w:rsidRPr="003102BD">
        <w:rPr>
          <w:bCs/>
          <w:i/>
          <w:lang w:val="en-US"/>
        </w:rPr>
        <w:t xml:space="preserve">force </w:t>
      </w:r>
      <w:r w:rsidR="003102BD">
        <w:rPr>
          <w:bCs/>
          <w:i/>
          <w:lang w:val="en-US"/>
        </w:rPr>
        <w:t>m</w:t>
      </w:r>
      <w:r w:rsidR="003102BD" w:rsidRPr="003102BD">
        <w:rPr>
          <w:bCs/>
          <w:i/>
          <w:lang w:val="en-US"/>
        </w:rPr>
        <w:t>ajeure</w:t>
      </w:r>
      <w:r w:rsidR="003102BD" w:rsidRPr="003102BD">
        <w:rPr>
          <w:bCs/>
          <w:lang w:val="en-US"/>
        </w:rPr>
        <w:t xml:space="preserve"> event</w:t>
      </w:r>
      <w:r w:rsidR="003102BD">
        <w:rPr>
          <w:bCs/>
          <w:lang w:val="en-US"/>
        </w:rPr>
        <w:t xml:space="preserve"> </w:t>
      </w:r>
      <w:r w:rsidR="003102BD" w:rsidRPr="003102BD">
        <w:rPr>
          <w:bCs/>
          <w:lang w:val="en-US"/>
        </w:rPr>
        <w:t>(</w:t>
      </w:r>
      <w:r w:rsidR="003102BD">
        <w:rPr>
          <w:bCs/>
          <w:lang w:val="en-US"/>
        </w:rPr>
        <w:t xml:space="preserve">see, for example, the </w:t>
      </w:r>
      <w:r w:rsidR="003102BD" w:rsidRPr="003102BD">
        <w:rPr>
          <w:bCs/>
          <w:lang w:val="en-US"/>
        </w:rPr>
        <w:t>Kurdistan PSC)</w:t>
      </w:r>
      <w:r w:rsidR="003102BD">
        <w:rPr>
          <w:bCs/>
          <w:lang w:val="en-US"/>
        </w:rPr>
        <w:t>.</w:t>
      </w:r>
    </w:p>
    <w:p w:rsidR="003102BD" w:rsidRDefault="003102BD" w:rsidP="003102BD">
      <w:pPr>
        <w:ind w:left="737"/>
        <w:jc w:val="both"/>
        <w:rPr>
          <w:bCs/>
          <w:lang w:val="en-US"/>
        </w:rPr>
      </w:pPr>
    </w:p>
    <w:p w:rsidR="003102BD" w:rsidRPr="003102BD" w:rsidRDefault="003102BD" w:rsidP="003102BD">
      <w:pPr>
        <w:ind w:left="737"/>
        <w:jc w:val="both"/>
        <w:rPr>
          <w:bCs/>
          <w:i/>
          <w:lang w:val="en-US"/>
        </w:rPr>
      </w:pPr>
      <w:r w:rsidRPr="003102BD">
        <w:rPr>
          <w:bCs/>
          <w:i/>
          <w:lang w:val="en-US"/>
        </w:rPr>
        <w:t>Ex</w:t>
      </w:r>
      <w:r>
        <w:rPr>
          <w:bCs/>
          <w:i/>
          <w:lang w:val="en-US"/>
        </w:rPr>
        <w:t xml:space="preserve">panding </w:t>
      </w:r>
      <w:r w:rsidRPr="003102BD">
        <w:rPr>
          <w:bCs/>
          <w:i/>
          <w:lang w:val="en-US"/>
        </w:rPr>
        <w:t>the list of force majeure events</w:t>
      </w:r>
    </w:p>
    <w:p w:rsidR="003102BD" w:rsidRDefault="003102BD" w:rsidP="003102BD">
      <w:pPr>
        <w:ind w:left="737"/>
        <w:jc w:val="both"/>
        <w:rPr>
          <w:bCs/>
          <w:lang w:val="en-US"/>
        </w:rPr>
      </w:pPr>
    </w:p>
    <w:p w:rsidR="003102BD" w:rsidRPr="003102BD" w:rsidRDefault="005C06F3" w:rsidP="003102BD">
      <w:pPr>
        <w:numPr>
          <w:ilvl w:val="1"/>
          <w:numId w:val="29"/>
        </w:numPr>
        <w:jc w:val="both"/>
        <w:rPr>
          <w:bCs/>
          <w:lang w:val="en-US"/>
        </w:rPr>
      </w:pPr>
      <w:r>
        <w:rPr>
          <w:bCs/>
          <w:lang w:val="en-US"/>
        </w:rPr>
        <w:t xml:space="preserve">The list </w:t>
      </w:r>
      <w:r w:rsidR="003102BD" w:rsidRPr="003102BD">
        <w:rPr>
          <w:bCs/>
          <w:lang w:val="en-US"/>
        </w:rPr>
        <w:t xml:space="preserve">of </w:t>
      </w:r>
      <w:r w:rsidR="003102BD" w:rsidRPr="005C06F3">
        <w:rPr>
          <w:bCs/>
          <w:i/>
          <w:lang w:val="en-US"/>
        </w:rPr>
        <w:t>force majeure</w:t>
      </w:r>
      <w:r w:rsidR="003102BD" w:rsidRPr="003102BD">
        <w:rPr>
          <w:bCs/>
          <w:lang w:val="en-US"/>
        </w:rPr>
        <w:t xml:space="preserve"> event</w:t>
      </w:r>
      <w:r>
        <w:rPr>
          <w:bCs/>
          <w:lang w:val="en-US"/>
        </w:rPr>
        <w:t>s</w:t>
      </w:r>
      <w:r w:rsidR="003102BD" w:rsidRPr="003102BD">
        <w:rPr>
          <w:bCs/>
          <w:lang w:val="en-US"/>
        </w:rPr>
        <w:t xml:space="preserve"> </w:t>
      </w:r>
      <w:r>
        <w:rPr>
          <w:bCs/>
          <w:lang w:val="en-US"/>
        </w:rPr>
        <w:t xml:space="preserve">in section 20.1 could be </w:t>
      </w:r>
      <w:r w:rsidR="003102BD" w:rsidRPr="003102BD">
        <w:rPr>
          <w:bCs/>
          <w:lang w:val="en-US"/>
        </w:rPr>
        <w:t>extended to include “civil unrest” and “re-imposition of economic sanctions” (</w:t>
      </w:r>
      <w:r>
        <w:rPr>
          <w:bCs/>
          <w:lang w:val="en-US"/>
        </w:rPr>
        <w:t xml:space="preserve">although the latter is arguably already </w:t>
      </w:r>
      <w:r w:rsidR="003102BD" w:rsidRPr="003102BD">
        <w:rPr>
          <w:bCs/>
          <w:lang w:val="en-US"/>
        </w:rPr>
        <w:t xml:space="preserve">caught by </w:t>
      </w:r>
      <w:r>
        <w:rPr>
          <w:bCs/>
          <w:lang w:val="en-US"/>
        </w:rPr>
        <w:t xml:space="preserve">the </w:t>
      </w:r>
      <w:r w:rsidR="003102BD" w:rsidRPr="003102BD">
        <w:rPr>
          <w:bCs/>
          <w:lang w:val="en-US"/>
        </w:rPr>
        <w:t>“</w:t>
      </w:r>
      <w:r w:rsidR="003102BD" w:rsidRPr="003102BD">
        <w:rPr>
          <w:rFonts w:hint="eastAsia"/>
          <w:bCs/>
          <w:lang w:val="en-US"/>
        </w:rPr>
        <w:t>restraint of a government</w:t>
      </w:r>
      <w:r w:rsidR="003102BD" w:rsidRPr="003102BD">
        <w:rPr>
          <w:bCs/>
          <w:lang w:val="en-US"/>
        </w:rPr>
        <w:t>”</w:t>
      </w:r>
      <w:r>
        <w:rPr>
          <w:bCs/>
          <w:lang w:val="en-US"/>
        </w:rPr>
        <w:t xml:space="preserve"> </w:t>
      </w:r>
      <w:r w:rsidRPr="005C06F3">
        <w:rPr>
          <w:bCs/>
          <w:i/>
          <w:lang w:val="en-US"/>
        </w:rPr>
        <w:t>force majeure</w:t>
      </w:r>
      <w:r w:rsidR="003102BD" w:rsidRPr="003102BD">
        <w:rPr>
          <w:bCs/>
          <w:lang w:val="en-US"/>
        </w:rPr>
        <w:t>)</w:t>
      </w:r>
      <w:r>
        <w:rPr>
          <w:bCs/>
          <w:lang w:val="en-US"/>
        </w:rPr>
        <w:t xml:space="preserve">. In addition, the list set out in section 20.1 could be stated to be non exhaustive so that any disruptive event outside the control of the parties </w:t>
      </w:r>
      <w:r w:rsidR="00291EB5">
        <w:rPr>
          <w:bCs/>
          <w:lang w:val="en-US"/>
        </w:rPr>
        <w:t xml:space="preserve">and which prevents a party from performing its obligations under the Myanmar PSC </w:t>
      </w:r>
      <w:r>
        <w:rPr>
          <w:bCs/>
          <w:lang w:val="en-US"/>
        </w:rPr>
        <w:t xml:space="preserve">could potentially be a </w:t>
      </w:r>
      <w:r>
        <w:rPr>
          <w:bCs/>
          <w:i/>
          <w:lang w:val="en-US"/>
        </w:rPr>
        <w:t xml:space="preserve">force majeure </w:t>
      </w:r>
      <w:r>
        <w:rPr>
          <w:bCs/>
          <w:lang w:val="en-US"/>
        </w:rPr>
        <w:t xml:space="preserve">event. </w:t>
      </w:r>
      <w:r w:rsidR="00B43825">
        <w:rPr>
          <w:bCs/>
          <w:lang w:val="en-US"/>
        </w:rPr>
        <w:t xml:space="preserve">Finally, the definition of a </w:t>
      </w:r>
      <w:r w:rsidR="00B43825" w:rsidRPr="00B43825">
        <w:rPr>
          <w:bCs/>
          <w:i/>
          <w:lang w:val="en-US"/>
        </w:rPr>
        <w:t>force majeure</w:t>
      </w:r>
      <w:r w:rsidR="00B43825">
        <w:rPr>
          <w:bCs/>
          <w:lang w:val="en-US"/>
        </w:rPr>
        <w:t xml:space="preserve"> event could be expanded </w:t>
      </w:r>
      <w:r w:rsidR="00B43825" w:rsidRPr="00B43825">
        <w:rPr>
          <w:bCs/>
          <w:lang w:val="en-US"/>
        </w:rPr>
        <w:t xml:space="preserve">to include </w:t>
      </w:r>
      <w:r w:rsidR="00B43825">
        <w:rPr>
          <w:bCs/>
          <w:lang w:val="en-US"/>
        </w:rPr>
        <w:t xml:space="preserve">a </w:t>
      </w:r>
      <w:r w:rsidR="00B43825" w:rsidRPr="00B43825">
        <w:rPr>
          <w:bCs/>
          <w:lang w:val="en-US"/>
        </w:rPr>
        <w:t>“combination of events” (to provide protection where a combination of events trigger</w:t>
      </w:r>
      <w:r w:rsidR="00B43825">
        <w:rPr>
          <w:bCs/>
          <w:lang w:val="en-US"/>
        </w:rPr>
        <w:t>s</w:t>
      </w:r>
      <w:r w:rsidR="00B43825" w:rsidRPr="00B43825">
        <w:rPr>
          <w:bCs/>
          <w:lang w:val="en-US"/>
        </w:rPr>
        <w:t xml:space="preserve"> a breach of duties or obligations</w:t>
      </w:r>
      <w:r w:rsidR="00B43825">
        <w:rPr>
          <w:bCs/>
          <w:lang w:val="en-US"/>
        </w:rPr>
        <w:t>).</w:t>
      </w:r>
    </w:p>
    <w:p w:rsidR="003102BD" w:rsidRPr="003102BD" w:rsidRDefault="003102BD" w:rsidP="00291EB5">
      <w:pPr>
        <w:ind w:left="737"/>
        <w:jc w:val="both"/>
        <w:rPr>
          <w:bCs/>
          <w:lang w:val="en-US"/>
        </w:rPr>
      </w:pPr>
    </w:p>
    <w:p w:rsidR="003102BD" w:rsidRPr="00291EB5" w:rsidRDefault="003102BD" w:rsidP="00291EB5">
      <w:pPr>
        <w:ind w:left="737"/>
        <w:jc w:val="both"/>
        <w:rPr>
          <w:bCs/>
          <w:i/>
          <w:lang w:val="en-US"/>
        </w:rPr>
      </w:pPr>
      <w:r w:rsidRPr="00291EB5">
        <w:rPr>
          <w:bCs/>
          <w:i/>
          <w:lang w:val="en-US"/>
        </w:rPr>
        <w:t xml:space="preserve">Force </w:t>
      </w:r>
      <w:r w:rsidR="00291EB5" w:rsidRPr="00291EB5">
        <w:rPr>
          <w:bCs/>
          <w:i/>
          <w:lang w:val="en-US"/>
        </w:rPr>
        <w:t>m</w:t>
      </w:r>
      <w:r w:rsidRPr="00291EB5">
        <w:rPr>
          <w:bCs/>
          <w:i/>
          <w:lang w:val="en-US"/>
        </w:rPr>
        <w:t xml:space="preserve">ajeure </w:t>
      </w:r>
      <w:r w:rsidR="00291EB5" w:rsidRPr="00291EB5">
        <w:rPr>
          <w:bCs/>
          <w:i/>
          <w:lang w:val="en-US"/>
        </w:rPr>
        <w:t xml:space="preserve">event affecting </w:t>
      </w:r>
      <w:r w:rsidRPr="00291EB5">
        <w:rPr>
          <w:bCs/>
          <w:i/>
          <w:lang w:val="en-US"/>
        </w:rPr>
        <w:t>Affiliate</w:t>
      </w:r>
    </w:p>
    <w:p w:rsidR="003102BD" w:rsidRPr="003102BD" w:rsidRDefault="003102BD" w:rsidP="00291EB5">
      <w:pPr>
        <w:ind w:left="737"/>
        <w:jc w:val="both"/>
        <w:rPr>
          <w:bCs/>
          <w:lang w:val="en-US"/>
        </w:rPr>
      </w:pPr>
    </w:p>
    <w:p w:rsidR="003102BD" w:rsidRPr="003102BD" w:rsidRDefault="00291EB5" w:rsidP="00291EB5">
      <w:pPr>
        <w:numPr>
          <w:ilvl w:val="1"/>
          <w:numId w:val="29"/>
        </w:numPr>
        <w:jc w:val="both"/>
        <w:rPr>
          <w:bCs/>
          <w:lang w:val="en-US"/>
        </w:rPr>
      </w:pPr>
      <w:r>
        <w:rPr>
          <w:bCs/>
          <w:lang w:val="en-US"/>
        </w:rPr>
        <w:t xml:space="preserve">A provision could be added to section 20 so that a </w:t>
      </w:r>
      <w:r>
        <w:rPr>
          <w:bCs/>
          <w:i/>
          <w:lang w:val="en-US"/>
        </w:rPr>
        <w:t xml:space="preserve">force majeure </w:t>
      </w:r>
      <w:r>
        <w:rPr>
          <w:bCs/>
          <w:lang w:val="en-US"/>
        </w:rPr>
        <w:t xml:space="preserve">event that </w:t>
      </w:r>
      <w:r w:rsidR="003102BD" w:rsidRPr="003102BD">
        <w:rPr>
          <w:bCs/>
          <w:lang w:val="en-US"/>
        </w:rPr>
        <w:t>affect</w:t>
      </w:r>
      <w:r>
        <w:rPr>
          <w:bCs/>
          <w:lang w:val="en-US"/>
        </w:rPr>
        <w:t>s an Affiliate of party c</w:t>
      </w:r>
      <w:r w:rsidR="003102BD" w:rsidRPr="003102BD">
        <w:rPr>
          <w:bCs/>
          <w:lang w:val="en-US"/>
        </w:rPr>
        <w:t xml:space="preserve">ould be deemed to affect </w:t>
      </w:r>
      <w:r>
        <w:rPr>
          <w:bCs/>
          <w:lang w:val="en-US"/>
        </w:rPr>
        <w:t xml:space="preserve">the relevant party (to the extent it </w:t>
      </w:r>
      <w:r>
        <w:rPr>
          <w:bCs/>
          <w:lang w:val="en-US"/>
        </w:rPr>
        <w:lastRenderedPageBreak/>
        <w:t xml:space="preserve">indirectly prevented the party from performing its obligations under the contract) (see, for example, the Kurdistan PSC). </w:t>
      </w:r>
      <w:r w:rsidR="003102BD" w:rsidRPr="003102BD">
        <w:rPr>
          <w:bCs/>
          <w:lang w:val="en-US"/>
        </w:rPr>
        <w:t xml:space="preserve"> </w:t>
      </w:r>
    </w:p>
    <w:p w:rsidR="003102BD" w:rsidRPr="003102BD" w:rsidRDefault="003102BD" w:rsidP="00291EB5">
      <w:pPr>
        <w:ind w:left="737"/>
        <w:jc w:val="both"/>
        <w:rPr>
          <w:bCs/>
          <w:lang w:val="en-US"/>
        </w:rPr>
      </w:pPr>
    </w:p>
    <w:p w:rsidR="00F06F33" w:rsidRPr="00F06F33" w:rsidRDefault="00F06F33" w:rsidP="00E115EC">
      <w:pPr>
        <w:numPr>
          <w:ilvl w:val="0"/>
          <w:numId w:val="29"/>
        </w:numPr>
        <w:jc w:val="both"/>
        <w:rPr>
          <w:b/>
          <w:bCs/>
          <w:lang w:val="en-US"/>
        </w:rPr>
      </w:pPr>
      <w:r w:rsidRPr="00F06F33">
        <w:rPr>
          <w:b/>
          <w:bCs/>
          <w:lang w:val="en-US"/>
        </w:rPr>
        <w:t>Governing law, jurisdiction and inalienable rights</w:t>
      </w:r>
      <w:r w:rsidR="00E115EC">
        <w:rPr>
          <w:b/>
          <w:bCs/>
          <w:lang w:val="en-US"/>
        </w:rPr>
        <w:t xml:space="preserve"> (section 21)</w:t>
      </w:r>
    </w:p>
    <w:p w:rsidR="00F06F33" w:rsidRPr="00F06F33" w:rsidRDefault="00F06F33" w:rsidP="00E115EC">
      <w:pPr>
        <w:ind w:left="737"/>
        <w:jc w:val="both"/>
        <w:rPr>
          <w:bCs/>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Section 21 provides that the governing law of the </w:t>
      </w:r>
      <w:r w:rsidR="00CD2DBA">
        <w:rPr>
          <w:bCs/>
          <w:lang w:val="en-US"/>
        </w:rPr>
        <w:t xml:space="preserve">Myanmar </w:t>
      </w:r>
      <w:r w:rsidRPr="00F06F33">
        <w:rPr>
          <w:bCs/>
          <w:lang w:val="en-US"/>
        </w:rPr>
        <w:t xml:space="preserve">PSC shall be the laws of Myanmar, with the parties agreeing to submit to the jurisdiction of the courts in Myanmar. </w:t>
      </w:r>
    </w:p>
    <w:p w:rsidR="00F06F33" w:rsidRPr="00F06F33" w:rsidRDefault="00F06F33" w:rsidP="00E115EC">
      <w:pPr>
        <w:ind w:left="737"/>
        <w:jc w:val="both"/>
        <w:rPr>
          <w:bCs/>
          <w:lang w:val="en-US"/>
        </w:rPr>
      </w:pPr>
    </w:p>
    <w:p w:rsidR="00F06F33" w:rsidRPr="00F06F33" w:rsidRDefault="00F06F33" w:rsidP="00E115EC">
      <w:pPr>
        <w:ind w:left="737"/>
        <w:jc w:val="both"/>
        <w:rPr>
          <w:bCs/>
          <w:i/>
          <w:lang w:val="en-US"/>
        </w:rPr>
      </w:pPr>
      <w:r w:rsidRPr="00F06F33">
        <w:rPr>
          <w:bCs/>
          <w:i/>
          <w:lang w:val="en-US"/>
        </w:rPr>
        <w:t>Waiver of sovereign immunity</w:t>
      </w:r>
    </w:p>
    <w:p w:rsidR="00F06F33" w:rsidRPr="00F06F33" w:rsidRDefault="00F06F33" w:rsidP="00E115EC">
      <w:pPr>
        <w:ind w:left="737"/>
        <w:jc w:val="both"/>
        <w:rPr>
          <w:bCs/>
          <w:i/>
          <w:lang w:val="en-US"/>
        </w:rPr>
      </w:pPr>
    </w:p>
    <w:p w:rsidR="00F06F33" w:rsidRPr="00E115EC" w:rsidRDefault="00F06F33" w:rsidP="00E115EC">
      <w:pPr>
        <w:numPr>
          <w:ilvl w:val="1"/>
          <w:numId w:val="29"/>
        </w:numPr>
        <w:ind w:hanging="750"/>
        <w:jc w:val="both"/>
        <w:rPr>
          <w:bCs/>
          <w:lang w:val="en-US"/>
        </w:rPr>
      </w:pPr>
      <w:r w:rsidRPr="00F06F33">
        <w:rPr>
          <w:bCs/>
          <w:lang w:val="en-US"/>
        </w:rPr>
        <w:t xml:space="preserve">We would recommend to include an express waiver of sovereign immunity </w:t>
      </w:r>
      <w:r w:rsidR="00CD2DBA">
        <w:rPr>
          <w:bCs/>
          <w:lang w:val="en-US"/>
        </w:rPr>
        <w:t xml:space="preserve">by MOGE </w:t>
      </w:r>
      <w:r w:rsidRPr="00F06F33">
        <w:rPr>
          <w:bCs/>
          <w:lang w:val="en-US"/>
        </w:rPr>
        <w:t xml:space="preserve">in </w:t>
      </w:r>
      <w:r w:rsidRPr="00E115EC">
        <w:rPr>
          <w:bCs/>
          <w:lang w:val="en-US"/>
        </w:rPr>
        <w:t xml:space="preserve">the </w:t>
      </w:r>
      <w:r w:rsidR="00CD2DBA">
        <w:rPr>
          <w:bCs/>
          <w:lang w:val="en-US"/>
        </w:rPr>
        <w:t xml:space="preserve">Myanmar </w:t>
      </w:r>
      <w:r w:rsidRPr="00E115EC">
        <w:rPr>
          <w:bCs/>
          <w:lang w:val="en-US"/>
        </w:rPr>
        <w:t>PSC (see</w:t>
      </w:r>
      <w:r w:rsidR="00CD2DBA">
        <w:rPr>
          <w:bCs/>
          <w:lang w:val="en-US"/>
        </w:rPr>
        <w:t>,</w:t>
      </w:r>
      <w:r w:rsidRPr="00E115EC">
        <w:rPr>
          <w:bCs/>
          <w:lang w:val="en-US"/>
        </w:rPr>
        <w:t xml:space="preserve"> fo</w:t>
      </w:r>
      <w:r w:rsidR="00CD2DBA">
        <w:rPr>
          <w:bCs/>
          <w:lang w:val="en-US"/>
        </w:rPr>
        <w:t>r example, the Kurdistan PSC</w:t>
      </w:r>
      <w:r w:rsidRPr="00E115EC">
        <w:rPr>
          <w:bCs/>
          <w:lang w:val="en-US"/>
        </w:rPr>
        <w:t>).</w:t>
      </w:r>
    </w:p>
    <w:p w:rsidR="00F06F33" w:rsidRPr="00F06F33" w:rsidRDefault="00F06F33" w:rsidP="00E115EC">
      <w:pPr>
        <w:ind w:left="737"/>
        <w:jc w:val="both"/>
        <w:rPr>
          <w:bCs/>
          <w:i/>
          <w:lang w:val="en-US"/>
        </w:rPr>
      </w:pPr>
    </w:p>
    <w:p w:rsidR="00F06F33" w:rsidRPr="00F06F33" w:rsidRDefault="00F06F33" w:rsidP="00E115EC">
      <w:pPr>
        <w:ind w:left="737"/>
        <w:jc w:val="both"/>
        <w:rPr>
          <w:bCs/>
          <w:i/>
          <w:lang w:val="en-US"/>
        </w:rPr>
      </w:pPr>
      <w:r w:rsidRPr="00F06F33">
        <w:rPr>
          <w:bCs/>
          <w:i/>
          <w:lang w:val="en-US"/>
        </w:rPr>
        <w:t>Deletion of courts submission clause</w:t>
      </w:r>
    </w:p>
    <w:p w:rsidR="00F06F33" w:rsidRPr="00F06F33" w:rsidRDefault="00F06F33" w:rsidP="00E115EC">
      <w:pPr>
        <w:ind w:left="737"/>
        <w:jc w:val="both"/>
        <w:rPr>
          <w:bCs/>
          <w:i/>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As section 22 of the PSC provides for dispute resolution through arbitration, it may not </w:t>
      </w:r>
      <w:r w:rsidR="00CD2DBA">
        <w:rPr>
          <w:bCs/>
          <w:lang w:val="en-US"/>
        </w:rPr>
        <w:t xml:space="preserve">be </w:t>
      </w:r>
      <w:r w:rsidRPr="00F06F33">
        <w:rPr>
          <w:bCs/>
          <w:lang w:val="en-US"/>
        </w:rPr>
        <w:t xml:space="preserve">appropriate to include a contradictory provision for submission to </w:t>
      </w:r>
      <w:r w:rsidR="00CD2DBA">
        <w:rPr>
          <w:bCs/>
          <w:lang w:val="en-US"/>
        </w:rPr>
        <w:t xml:space="preserve">the </w:t>
      </w:r>
      <w:r w:rsidRPr="00F06F33">
        <w:rPr>
          <w:bCs/>
          <w:lang w:val="en-US"/>
        </w:rPr>
        <w:t>courts of Myanmar (to the extent this may cast doubt on the agreement to arbitrate)</w:t>
      </w:r>
      <w:r w:rsidR="00027023">
        <w:rPr>
          <w:rStyle w:val="FootnoteReference"/>
          <w:bCs/>
          <w:lang w:val="en-US"/>
        </w:rPr>
        <w:footnoteReference w:id="5"/>
      </w:r>
      <w:r w:rsidRPr="00F06F33">
        <w:rPr>
          <w:bCs/>
          <w:lang w:val="en-US"/>
        </w:rPr>
        <w:t xml:space="preserve">. Instead, we can include a provision allowing for enforcement of any arbitration award in any court having competent jurisdiction.  </w:t>
      </w:r>
    </w:p>
    <w:p w:rsidR="00F06F33" w:rsidRPr="00F06F33" w:rsidRDefault="00F06F33" w:rsidP="00E115EC">
      <w:pPr>
        <w:ind w:left="737"/>
        <w:jc w:val="both"/>
        <w:rPr>
          <w:bCs/>
          <w:lang w:val="en-US"/>
        </w:rPr>
      </w:pPr>
    </w:p>
    <w:p w:rsidR="00A63731" w:rsidRPr="00A63731" w:rsidRDefault="00A63731" w:rsidP="00A63731">
      <w:pPr>
        <w:numPr>
          <w:ilvl w:val="0"/>
          <w:numId w:val="29"/>
        </w:numPr>
        <w:jc w:val="both"/>
        <w:rPr>
          <w:b/>
          <w:bCs/>
        </w:rPr>
      </w:pPr>
      <w:r w:rsidRPr="00A63731">
        <w:rPr>
          <w:rFonts w:hint="eastAsia"/>
          <w:b/>
          <w:bCs/>
        </w:rPr>
        <w:t>C</w:t>
      </w:r>
      <w:r w:rsidRPr="00A63731">
        <w:rPr>
          <w:b/>
          <w:bCs/>
        </w:rPr>
        <w:t>onsultation and arbitration</w:t>
      </w:r>
      <w:r>
        <w:rPr>
          <w:b/>
          <w:bCs/>
        </w:rPr>
        <w:t xml:space="preserve"> (section 22)</w:t>
      </w:r>
    </w:p>
    <w:p w:rsidR="00A63731" w:rsidRPr="00A63731" w:rsidRDefault="00A63731" w:rsidP="00A63731">
      <w:pPr>
        <w:ind w:left="737"/>
        <w:jc w:val="both"/>
        <w:rPr>
          <w:bCs/>
        </w:rPr>
      </w:pPr>
    </w:p>
    <w:p w:rsidR="00A63731" w:rsidRDefault="003E0CB8" w:rsidP="00A63731">
      <w:pPr>
        <w:numPr>
          <w:ilvl w:val="1"/>
          <w:numId w:val="29"/>
        </w:numPr>
        <w:jc w:val="both"/>
        <w:rPr>
          <w:bCs/>
          <w:lang w:val="en-US"/>
        </w:rPr>
      </w:pPr>
      <w:r>
        <w:rPr>
          <w:bCs/>
          <w:lang w:val="en-US"/>
        </w:rPr>
        <w:t xml:space="preserve">Section 21 provides for resolution of disputes through arbitration conducted under the </w:t>
      </w:r>
      <w:r w:rsidRPr="00A63731">
        <w:rPr>
          <w:rFonts w:hint="eastAsia"/>
          <w:bCs/>
          <w:lang w:val="en-US"/>
        </w:rPr>
        <w:t>Myanmar Arbitration Act, 1944 (Myanmar Act IV, 1944)</w:t>
      </w:r>
      <w:r>
        <w:rPr>
          <w:bCs/>
          <w:lang w:val="en-US"/>
        </w:rPr>
        <w:t xml:space="preserve">, which is generally considered to be a very outdated piece of legislation. </w:t>
      </w:r>
    </w:p>
    <w:p w:rsidR="00A63731" w:rsidRDefault="00A63731" w:rsidP="00A63731">
      <w:pPr>
        <w:jc w:val="both"/>
        <w:rPr>
          <w:bCs/>
          <w:lang w:val="en-US"/>
        </w:rPr>
      </w:pPr>
    </w:p>
    <w:p w:rsidR="00A63731" w:rsidRPr="00A63731" w:rsidRDefault="00A63731" w:rsidP="00A63731">
      <w:pPr>
        <w:ind w:left="737"/>
        <w:jc w:val="both"/>
        <w:rPr>
          <w:bCs/>
          <w:i/>
          <w:lang w:val="en-US"/>
        </w:rPr>
      </w:pPr>
      <w:r w:rsidRPr="00A63731">
        <w:rPr>
          <w:bCs/>
          <w:i/>
          <w:lang w:val="en-US"/>
        </w:rPr>
        <w:t xml:space="preserve">Alternative mechanisms for disputes of a technical nature </w:t>
      </w:r>
    </w:p>
    <w:p w:rsidR="00A63731" w:rsidRDefault="00A63731" w:rsidP="00A63731">
      <w:pPr>
        <w:ind w:left="737"/>
        <w:jc w:val="both"/>
        <w:rPr>
          <w:bCs/>
          <w:lang w:val="en-US"/>
        </w:rPr>
      </w:pPr>
    </w:p>
    <w:p w:rsidR="00582056" w:rsidRPr="00A63731" w:rsidRDefault="00A63731" w:rsidP="00582056">
      <w:pPr>
        <w:numPr>
          <w:ilvl w:val="1"/>
          <w:numId w:val="29"/>
        </w:numPr>
        <w:jc w:val="both"/>
        <w:rPr>
          <w:bCs/>
          <w:lang w:val="en-US"/>
        </w:rPr>
      </w:pPr>
      <w:r w:rsidRPr="00FE3DF6">
        <w:rPr>
          <w:bCs/>
          <w:lang w:val="en-US"/>
        </w:rPr>
        <w:t xml:space="preserve">As discussed in paragraph 11 above in relation to </w:t>
      </w:r>
      <w:r w:rsidR="00FE3DF6" w:rsidRPr="00FE3DF6">
        <w:rPr>
          <w:bCs/>
          <w:lang w:val="en-US"/>
        </w:rPr>
        <w:t xml:space="preserve">disagreements on valuation of Crude Oil, </w:t>
      </w:r>
      <w:r w:rsidR="00282AE2">
        <w:t>Contractor</w:t>
      </w:r>
      <w:r w:rsidR="00282AE2" w:rsidRPr="00FE3DF6">
        <w:rPr>
          <w:bCs/>
          <w:lang w:val="en-US"/>
        </w:rPr>
        <w:t xml:space="preserve"> </w:t>
      </w:r>
      <w:r w:rsidR="00FE3DF6" w:rsidRPr="00FE3DF6">
        <w:rPr>
          <w:bCs/>
          <w:lang w:val="en-US"/>
        </w:rPr>
        <w:t xml:space="preserve">might </w:t>
      </w:r>
      <w:r w:rsidR="00FE3DF6">
        <w:rPr>
          <w:bCs/>
          <w:lang w:val="en-US"/>
        </w:rPr>
        <w:t xml:space="preserve">establishing an alternative mechanism to address certain specified disputes of a technical nature which could be referred to a pre-appointed expert (or to an expert </w:t>
      </w:r>
      <w:r w:rsidR="00B51FD4">
        <w:rPr>
          <w:bCs/>
          <w:lang w:val="en-US"/>
        </w:rPr>
        <w:t xml:space="preserve">appointed through a pre-agreed </w:t>
      </w:r>
      <w:r w:rsidR="00FE3DF6">
        <w:rPr>
          <w:bCs/>
          <w:lang w:val="en-US"/>
        </w:rPr>
        <w:t>process)</w:t>
      </w:r>
      <w:r w:rsidR="0000370F">
        <w:rPr>
          <w:bCs/>
          <w:lang w:val="en-US"/>
        </w:rPr>
        <w:t xml:space="preserve">. </w:t>
      </w:r>
      <w:r w:rsidR="00D579B8" w:rsidRPr="00D579B8">
        <w:rPr>
          <w:bCs/>
          <w:lang w:val="en-US"/>
        </w:rPr>
        <w:t xml:space="preserve">As a dispute resolution method, </w:t>
      </w:r>
      <w:r w:rsidR="00582056">
        <w:rPr>
          <w:bCs/>
          <w:lang w:val="en-US"/>
        </w:rPr>
        <w:t xml:space="preserve">expert determination can be </w:t>
      </w:r>
      <w:r w:rsidR="00D579B8" w:rsidRPr="00D579B8">
        <w:rPr>
          <w:bCs/>
          <w:lang w:val="en-US"/>
        </w:rPr>
        <w:t xml:space="preserve">less formal than arbitration, and it allows </w:t>
      </w:r>
      <w:r w:rsidR="00582056">
        <w:rPr>
          <w:bCs/>
          <w:lang w:val="en-US"/>
        </w:rPr>
        <w:t xml:space="preserve">for </w:t>
      </w:r>
      <w:r w:rsidR="00D579B8" w:rsidRPr="00D579B8">
        <w:rPr>
          <w:bCs/>
          <w:lang w:val="en-US"/>
        </w:rPr>
        <w:t xml:space="preserve">the appointment of an expert who is familiar with the relevant technical issues. </w:t>
      </w:r>
    </w:p>
    <w:p w:rsidR="00A63731" w:rsidRPr="00A63731" w:rsidRDefault="00A63731" w:rsidP="00582056">
      <w:pPr>
        <w:ind w:left="737"/>
        <w:jc w:val="both"/>
        <w:rPr>
          <w:bCs/>
          <w:lang w:val="en-US"/>
        </w:rPr>
      </w:pPr>
    </w:p>
    <w:p w:rsidR="00A63731" w:rsidRPr="00582056" w:rsidRDefault="00A63731" w:rsidP="00582056">
      <w:pPr>
        <w:ind w:left="737"/>
        <w:jc w:val="both"/>
        <w:rPr>
          <w:bCs/>
          <w:i/>
          <w:lang w:val="en-US"/>
        </w:rPr>
      </w:pPr>
      <w:r w:rsidRPr="00582056">
        <w:rPr>
          <w:bCs/>
          <w:i/>
          <w:lang w:val="en-US"/>
        </w:rPr>
        <w:t>International arbitration procedures</w:t>
      </w:r>
      <w:r w:rsidR="006733FC">
        <w:rPr>
          <w:bCs/>
          <w:i/>
          <w:lang w:val="en-US"/>
        </w:rPr>
        <w:t xml:space="preserve"> </w:t>
      </w:r>
      <w:r w:rsidRPr="00582056">
        <w:rPr>
          <w:bCs/>
          <w:i/>
          <w:lang w:val="en-US"/>
        </w:rPr>
        <w:t>/</w:t>
      </w:r>
      <w:r w:rsidR="006733FC">
        <w:rPr>
          <w:bCs/>
          <w:i/>
          <w:lang w:val="en-US"/>
        </w:rPr>
        <w:t xml:space="preserve"> </w:t>
      </w:r>
      <w:r w:rsidRPr="00582056">
        <w:rPr>
          <w:bCs/>
          <w:i/>
          <w:lang w:val="en-US"/>
        </w:rPr>
        <w:t>forum</w:t>
      </w:r>
    </w:p>
    <w:p w:rsidR="00A63731" w:rsidRPr="00A63731" w:rsidRDefault="00A63731" w:rsidP="00582056">
      <w:pPr>
        <w:ind w:left="737"/>
        <w:jc w:val="both"/>
        <w:rPr>
          <w:bCs/>
          <w:lang w:val="en-US"/>
        </w:rPr>
      </w:pPr>
    </w:p>
    <w:p w:rsidR="0091212E" w:rsidRPr="006B23A7" w:rsidRDefault="003E0CB8" w:rsidP="0091212E">
      <w:pPr>
        <w:numPr>
          <w:ilvl w:val="1"/>
          <w:numId w:val="29"/>
        </w:numPr>
        <w:jc w:val="both"/>
        <w:rPr>
          <w:bCs/>
          <w:lang w:val="en-US"/>
        </w:rPr>
      </w:pPr>
      <w:r w:rsidRPr="006B23A7">
        <w:rPr>
          <w:bCs/>
          <w:lang w:val="en-US"/>
        </w:rPr>
        <w:lastRenderedPageBreak/>
        <w:t xml:space="preserve">We understand that in contracts for its state entities, the Government of Myanmar typically insists on Myanmar substantive law and arbitration. However, certain investors in a strong bargaining position have been able to insist on </w:t>
      </w:r>
      <w:r w:rsidR="006733FC" w:rsidRPr="006B23A7">
        <w:rPr>
          <w:bCs/>
          <w:lang w:val="en-US"/>
        </w:rPr>
        <w:t>foreign governing law and international arbitration outside Myanmar (under, for example, I</w:t>
      </w:r>
      <w:r w:rsidRPr="006B23A7">
        <w:rPr>
          <w:bCs/>
          <w:lang w:val="en-US"/>
        </w:rPr>
        <w:t>nternational Chamber of Commerce (“</w:t>
      </w:r>
      <w:r w:rsidRPr="006B23A7">
        <w:rPr>
          <w:b/>
          <w:bCs/>
          <w:lang w:val="en-US"/>
        </w:rPr>
        <w:t>ICC</w:t>
      </w:r>
      <w:r w:rsidRPr="006B23A7">
        <w:rPr>
          <w:bCs/>
          <w:lang w:val="en-US"/>
        </w:rPr>
        <w:t>”) or the Arbitration Rules of the United Nations Commission on International Trade Law (“</w:t>
      </w:r>
      <w:r w:rsidRPr="006B23A7">
        <w:rPr>
          <w:b/>
          <w:bCs/>
          <w:lang w:val="en-US"/>
        </w:rPr>
        <w:t>UNCITRAL</w:t>
      </w:r>
      <w:r w:rsidRPr="006B23A7">
        <w:rPr>
          <w:bCs/>
          <w:lang w:val="en-US"/>
        </w:rPr>
        <w:t>”)</w:t>
      </w:r>
      <w:r w:rsidR="007D3E76">
        <w:rPr>
          <w:bCs/>
          <w:lang w:val="en-US"/>
        </w:rPr>
        <w:t>)</w:t>
      </w:r>
      <w:r w:rsidRPr="006B23A7">
        <w:rPr>
          <w:bCs/>
          <w:lang w:val="en-US"/>
        </w:rPr>
        <w:t xml:space="preserve">. </w:t>
      </w:r>
      <w:r w:rsidR="00282AE2">
        <w:t>Contractor</w:t>
      </w:r>
      <w:r w:rsidR="00282AE2" w:rsidRPr="006B23A7">
        <w:rPr>
          <w:bCs/>
          <w:lang w:val="en-US"/>
        </w:rPr>
        <w:t xml:space="preserve"> </w:t>
      </w:r>
      <w:r w:rsidRPr="006B23A7">
        <w:rPr>
          <w:bCs/>
          <w:lang w:val="en-US"/>
        </w:rPr>
        <w:t xml:space="preserve">may consider whether to pursue such </w:t>
      </w:r>
      <w:r w:rsidR="006733FC" w:rsidRPr="006B23A7">
        <w:rPr>
          <w:bCs/>
          <w:lang w:val="en-US"/>
        </w:rPr>
        <w:t xml:space="preserve">an option. </w:t>
      </w:r>
      <w:r w:rsidR="0091212E" w:rsidRPr="006B23A7">
        <w:rPr>
          <w:bCs/>
          <w:lang w:val="en-US"/>
        </w:rPr>
        <w:t xml:space="preserve">Please note that that </w:t>
      </w:r>
      <w:r w:rsidR="006B23A7" w:rsidRPr="006B23A7">
        <w:rPr>
          <w:bCs/>
          <w:lang w:val="en-US"/>
        </w:rPr>
        <w:t xml:space="preserve">although </w:t>
      </w:r>
      <w:r w:rsidR="0091212E" w:rsidRPr="006B23A7">
        <w:rPr>
          <w:bCs/>
          <w:lang w:val="en-US"/>
        </w:rPr>
        <w:t xml:space="preserve">Myanmar has acceded to the New York Convention on </w:t>
      </w:r>
      <w:r w:rsidR="006B23A7" w:rsidRPr="006B23A7">
        <w:rPr>
          <w:bCs/>
          <w:lang w:val="en-US"/>
        </w:rPr>
        <w:t>the Recognition and Enforcement of Foreign Arbitral Awards 1958 (the “</w:t>
      </w:r>
      <w:r w:rsidR="006B23A7" w:rsidRPr="006B23A7">
        <w:rPr>
          <w:b/>
          <w:bCs/>
          <w:lang w:val="en-US"/>
        </w:rPr>
        <w:t>New York Convention</w:t>
      </w:r>
      <w:r w:rsidR="006B23A7" w:rsidRPr="006B23A7">
        <w:rPr>
          <w:bCs/>
          <w:lang w:val="en-US"/>
        </w:rPr>
        <w:t xml:space="preserve">”), it is still necessary </w:t>
      </w:r>
      <w:r w:rsidR="006B23A7">
        <w:rPr>
          <w:bCs/>
          <w:lang w:val="en-US"/>
        </w:rPr>
        <w:t>to amend Myanmar’</w:t>
      </w:r>
      <w:r w:rsidR="0091212E" w:rsidRPr="006B23A7">
        <w:rPr>
          <w:bCs/>
          <w:lang w:val="en-US"/>
        </w:rPr>
        <w:t>s domestic arbitration laws and regulations to ensure the judicial enforcement of foreign arbitral awards issued in New York Convention states.</w:t>
      </w:r>
    </w:p>
    <w:p w:rsidR="003E0CB8" w:rsidRDefault="003E0CB8" w:rsidP="00401312">
      <w:pPr>
        <w:ind w:left="737"/>
        <w:jc w:val="both"/>
        <w:rPr>
          <w:bCs/>
          <w:lang w:val="en-US"/>
        </w:rPr>
      </w:pPr>
    </w:p>
    <w:p w:rsidR="00A63731" w:rsidRPr="00582056" w:rsidRDefault="00A63731" w:rsidP="00582056">
      <w:pPr>
        <w:ind w:left="737"/>
        <w:jc w:val="both"/>
        <w:rPr>
          <w:bCs/>
          <w:i/>
          <w:lang w:val="en-US"/>
        </w:rPr>
      </w:pPr>
      <w:r w:rsidRPr="00582056">
        <w:rPr>
          <w:bCs/>
          <w:i/>
          <w:lang w:val="en-US"/>
        </w:rPr>
        <w:t xml:space="preserve">Appointment and independence of </w:t>
      </w:r>
      <w:r w:rsidR="00582056">
        <w:rPr>
          <w:bCs/>
          <w:i/>
          <w:lang w:val="en-US"/>
        </w:rPr>
        <w:t>t</w:t>
      </w:r>
      <w:r w:rsidRPr="00582056">
        <w:rPr>
          <w:bCs/>
          <w:i/>
          <w:lang w:val="en-US"/>
        </w:rPr>
        <w:t xml:space="preserve">hird arbitrator </w:t>
      </w:r>
    </w:p>
    <w:p w:rsidR="00A63731" w:rsidRPr="00A63731" w:rsidRDefault="00A63731" w:rsidP="00582056">
      <w:pPr>
        <w:ind w:left="737"/>
        <w:jc w:val="both"/>
        <w:rPr>
          <w:bCs/>
          <w:u w:val="single"/>
          <w:lang w:val="en-US"/>
        </w:rPr>
      </w:pPr>
    </w:p>
    <w:p w:rsidR="00027023" w:rsidRDefault="00582056" w:rsidP="00582056">
      <w:pPr>
        <w:numPr>
          <w:ilvl w:val="1"/>
          <w:numId w:val="29"/>
        </w:numPr>
        <w:jc w:val="both"/>
        <w:rPr>
          <w:bCs/>
          <w:lang w:val="en-US"/>
        </w:rPr>
      </w:pPr>
      <w:r>
        <w:rPr>
          <w:bCs/>
          <w:lang w:val="en-US"/>
        </w:rPr>
        <w:t>S</w:t>
      </w:r>
      <w:r w:rsidRPr="00582056">
        <w:rPr>
          <w:bCs/>
          <w:lang w:val="en-US"/>
        </w:rPr>
        <w:t xml:space="preserve">ection </w:t>
      </w:r>
      <w:r>
        <w:rPr>
          <w:bCs/>
          <w:lang w:val="en-US"/>
        </w:rPr>
        <w:t xml:space="preserve">22.2 </w:t>
      </w:r>
      <w:r w:rsidR="00027023">
        <w:rPr>
          <w:bCs/>
          <w:lang w:val="en-US"/>
        </w:rPr>
        <w:t xml:space="preserve">of the Myanmar PSC </w:t>
      </w:r>
      <w:r>
        <w:rPr>
          <w:bCs/>
          <w:lang w:val="en-US"/>
        </w:rPr>
        <w:t xml:space="preserve">provides for the </w:t>
      </w:r>
      <w:r w:rsidR="00027023">
        <w:rPr>
          <w:bCs/>
          <w:lang w:val="en-US"/>
        </w:rPr>
        <w:t xml:space="preserve">appointment of two arbitrators, one by each party. If the arbitrators cannot reach agreement, the matter is referred to an “umpire” nominated by those arbitrators. A more efficient mechanism would be simply to provide for appointment of three arbitrators at the outset (so that there is no risk of deadlock). The third arbitrator could be appointed through a pre-agreed procedure to ensure its independence from the parties. </w:t>
      </w:r>
    </w:p>
    <w:p w:rsidR="00027023" w:rsidRDefault="00027023" w:rsidP="00027023">
      <w:pPr>
        <w:ind w:left="737"/>
        <w:jc w:val="both"/>
        <w:rPr>
          <w:bCs/>
          <w:lang w:val="en-US"/>
        </w:rPr>
      </w:pPr>
    </w:p>
    <w:p w:rsidR="00027023" w:rsidRPr="00027023" w:rsidRDefault="00027023" w:rsidP="00027023">
      <w:pPr>
        <w:ind w:left="737"/>
        <w:jc w:val="both"/>
        <w:rPr>
          <w:bCs/>
          <w:i/>
          <w:lang w:val="en-US"/>
        </w:rPr>
      </w:pPr>
      <w:r w:rsidRPr="00027023">
        <w:rPr>
          <w:bCs/>
          <w:i/>
          <w:lang w:val="en-US"/>
        </w:rPr>
        <w:t>Arbitration costs</w:t>
      </w:r>
    </w:p>
    <w:p w:rsidR="00027023" w:rsidRDefault="00027023" w:rsidP="00027023">
      <w:pPr>
        <w:ind w:left="737"/>
        <w:jc w:val="both"/>
        <w:rPr>
          <w:bCs/>
          <w:lang w:val="en-US"/>
        </w:rPr>
      </w:pPr>
    </w:p>
    <w:p w:rsidR="00A63731" w:rsidRPr="00A63731" w:rsidRDefault="00282AE2" w:rsidP="00027023">
      <w:pPr>
        <w:numPr>
          <w:ilvl w:val="1"/>
          <w:numId w:val="29"/>
        </w:numPr>
        <w:jc w:val="both"/>
        <w:rPr>
          <w:bCs/>
          <w:lang w:val="en-US"/>
        </w:rPr>
      </w:pPr>
      <w:r>
        <w:t>Contractor</w:t>
      </w:r>
      <w:r>
        <w:rPr>
          <w:bCs/>
          <w:lang w:val="en-US"/>
        </w:rPr>
        <w:t xml:space="preserve"> </w:t>
      </w:r>
      <w:r w:rsidR="00027023">
        <w:rPr>
          <w:bCs/>
          <w:lang w:val="en-US"/>
        </w:rPr>
        <w:t xml:space="preserve">may consider to push for the costs and expenses of arbitration and any expert determination be recoverable (currently they are not recoverable). </w:t>
      </w:r>
    </w:p>
    <w:p w:rsidR="00027023" w:rsidRDefault="00027023" w:rsidP="00027023">
      <w:pPr>
        <w:ind w:left="737"/>
        <w:jc w:val="both"/>
        <w:rPr>
          <w:bCs/>
          <w:i/>
          <w:lang w:val="en-US"/>
        </w:rPr>
      </w:pPr>
    </w:p>
    <w:p w:rsidR="00456420" w:rsidRDefault="00456420" w:rsidP="00E115EC">
      <w:pPr>
        <w:numPr>
          <w:ilvl w:val="0"/>
          <w:numId w:val="29"/>
        </w:numPr>
        <w:jc w:val="both"/>
        <w:rPr>
          <w:b/>
          <w:bCs/>
          <w:lang w:val="en-US"/>
        </w:rPr>
      </w:pPr>
      <w:r>
        <w:rPr>
          <w:b/>
          <w:bCs/>
          <w:lang w:val="en-US"/>
        </w:rPr>
        <w:t>Insurance (section 24)</w:t>
      </w:r>
    </w:p>
    <w:p w:rsidR="00456420" w:rsidRDefault="00456420" w:rsidP="00456420">
      <w:pPr>
        <w:ind w:left="737"/>
        <w:jc w:val="both"/>
        <w:rPr>
          <w:b/>
          <w:bCs/>
          <w:lang w:val="en-US"/>
        </w:rPr>
      </w:pPr>
    </w:p>
    <w:p w:rsidR="008C1321" w:rsidRPr="008C1321" w:rsidRDefault="008C1321" w:rsidP="008C1321">
      <w:pPr>
        <w:numPr>
          <w:ilvl w:val="1"/>
          <w:numId w:val="29"/>
        </w:numPr>
        <w:jc w:val="both"/>
        <w:rPr>
          <w:bCs/>
        </w:rPr>
      </w:pPr>
      <w:r>
        <w:rPr>
          <w:bCs/>
          <w:lang w:val="en-US"/>
        </w:rPr>
        <w:t xml:space="preserve">While the </w:t>
      </w:r>
      <w:r w:rsidRPr="008C1321">
        <w:rPr>
          <w:bCs/>
          <w:lang w:val="en-US"/>
        </w:rPr>
        <w:t xml:space="preserve">core insurance provisions </w:t>
      </w:r>
      <w:r>
        <w:rPr>
          <w:bCs/>
          <w:lang w:val="en-US"/>
        </w:rPr>
        <w:t xml:space="preserve">in section 24 of the Myanmar PSC </w:t>
      </w:r>
      <w:r w:rsidRPr="008C1321">
        <w:rPr>
          <w:bCs/>
          <w:lang w:val="en-US"/>
        </w:rPr>
        <w:t>are generally acceptable</w:t>
      </w:r>
      <w:r w:rsidR="007C3081">
        <w:rPr>
          <w:bCs/>
          <w:lang w:val="en-US"/>
        </w:rPr>
        <w:t xml:space="preserve">, </w:t>
      </w:r>
      <w:r w:rsidRPr="008C1321">
        <w:rPr>
          <w:bCs/>
          <w:lang w:val="en-US"/>
        </w:rPr>
        <w:t xml:space="preserve">some provisions are </w:t>
      </w:r>
      <w:r>
        <w:rPr>
          <w:bCs/>
          <w:lang w:val="en-US"/>
        </w:rPr>
        <w:t xml:space="preserve">unique to the Myanmar PSC, as discussed below. </w:t>
      </w:r>
    </w:p>
    <w:p w:rsidR="008C1321" w:rsidRPr="008C1321" w:rsidRDefault="008C1321" w:rsidP="008C1321">
      <w:pPr>
        <w:ind w:left="737"/>
        <w:jc w:val="both"/>
        <w:rPr>
          <w:bCs/>
        </w:rPr>
      </w:pPr>
    </w:p>
    <w:p w:rsidR="008C1321" w:rsidRPr="008C1321" w:rsidRDefault="008C1321" w:rsidP="008C1321">
      <w:pPr>
        <w:ind w:left="737"/>
        <w:jc w:val="both"/>
        <w:rPr>
          <w:bCs/>
          <w:i/>
          <w:lang w:val="en-US"/>
        </w:rPr>
      </w:pPr>
      <w:r w:rsidRPr="008C1321">
        <w:rPr>
          <w:bCs/>
          <w:i/>
          <w:lang w:val="en-US"/>
        </w:rPr>
        <w:t>I</w:t>
      </w:r>
      <w:r w:rsidRPr="008C1321">
        <w:rPr>
          <w:rFonts w:hint="eastAsia"/>
          <w:bCs/>
          <w:i/>
          <w:lang w:val="en-US"/>
        </w:rPr>
        <w:t>nsurance in accordance with Foreign Investment Law</w:t>
      </w:r>
    </w:p>
    <w:p w:rsidR="008C1321" w:rsidRPr="008C1321" w:rsidRDefault="008C1321" w:rsidP="008C1321">
      <w:pPr>
        <w:ind w:left="737"/>
        <w:jc w:val="both"/>
        <w:rPr>
          <w:bCs/>
          <w:lang w:val="en-US"/>
        </w:rPr>
      </w:pPr>
    </w:p>
    <w:p w:rsidR="008C1321" w:rsidRPr="00914981" w:rsidRDefault="008C1321" w:rsidP="008C1321">
      <w:pPr>
        <w:numPr>
          <w:ilvl w:val="1"/>
          <w:numId w:val="29"/>
        </w:numPr>
        <w:jc w:val="both"/>
        <w:rPr>
          <w:bCs/>
          <w:lang w:val="en-US"/>
        </w:rPr>
      </w:pPr>
      <w:r w:rsidRPr="00914981">
        <w:rPr>
          <w:bCs/>
          <w:lang w:val="en-US"/>
        </w:rPr>
        <w:t xml:space="preserve">Section 24.1 of the Myanmar PSC requires that </w:t>
      </w:r>
      <w:r w:rsidRPr="00914981">
        <w:rPr>
          <w:rFonts w:hint="eastAsia"/>
          <w:bCs/>
          <w:lang w:val="en-US"/>
        </w:rPr>
        <w:t xml:space="preserve">the </w:t>
      </w:r>
      <w:r w:rsidRPr="00914981">
        <w:rPr>
          <w:bCs/>
          <w:lang w:val="en-US"/>
        </w:rPr>
        <w:t xml:space="preserve">Contractor </w:t>
      </w:r>
      <w:r w:rsidRPr="00914981">
        <w:rPr>
          <w:rFonts w:hint="eastAsia"/>
          <w:bCs/>
          <w:lang w:val="en-US"/>
        </w:rPr>
        <w:t>shall secure and maintain insurance in accordance with Foreign Investment Law</w:t>
      </w:r>
      <w:r w:rsidRPr="00914981">
        <w:rPr>
          <w:bCs/>
          <w:lang w:val="en-US"/>
        </w:rPr>
        <w:t xml:space="preserve"> of Myanmar </w:t>
      </w:r>
      <w:r w:rsidRPr="00914981">
        <w:rPr>
          <w:rFonts w:hint="eastAsia"/>
          <w:bCs/>
          <w:lang w:val="en-US"/>
        </w:rPr>
        <w:t xml:space="preserve"> </w:t>
      </w:r>
      <w:r w:rsidRPr="00914981">
        <w:rPr>
          <w:bCs/>
          <w:lang w:val="en-US"/>
        </w:rPr>
        <w:t>(“</w:t>
      </w:r>
      <w:r w:rsidRPr="00914981">
        <w:rPr>
          <w:b/>
          <w:bCs/>
          <w:lang w:val="en-US"/>
        </w:rPr>
        <w:t>FIL</w:t>
      </w:r>
      <w:r w:rsidRPr="00914981">
        <w:rPr>
          <w:bCs/>
          <w:lang w:val="en-US"/>
        </w:rPr>
        <w:t xml:space="preserve">”). </w:t>
      </w:r>
      <w:r w:rsidR="00914981" w:rsidRPr="00914981">
        <w:rPr>
          <w:bCs/>
          <w:lang w:val="en-US"/>
        </w:rPr>
        <w:t xml:space="preserve">Under the </w:t>
      </w:r>
      <w:r w:rsidRPr="00914981">
        <w:rPr>
          <w:bCs/>
          <w:lang w:val="en-US"/>
        </w:rPr>
        <w:t>FIL</w:t>
      </w:r>
      <w:r w:rsidR="00914981" w:rsidRPr="00914981">
        <w:rPr>
          <w:bCs/>
          <w:lang w:val="en-US"/>
        </w:rPr>
        <w:t>,</w:t>
      </w:r>
      <w:r w:rsidRPr="00914981">
        <w:rPr>
          <w:bCs/>
          <w:lang w:val="en-US"/>
        </w:rPr>
        <w:t xml:space="preserve"> registered companies must procure fire, marine, injury, natural disaster and life insurance from locally-registered companies</w:t>
      </w:r>
      <w:r w:rsidR="00914981" w:rsidRPr="00914981">
        <w:rPr>
          <w:bCs/>
          <w:lang w:val="en-US"/>
        </w:rPr>
        <w:t xml:space="preserve"> </w:t>
      </w:r>
      <w:r w:rsidRPr="00914981">
        <w:rPr>
          <w:bCs/>
          <w:lang w:val="en-US"/>
        </w:rPr>
        <w:t xml:space="preserve">(Rule 77 of </w:t>
      </w:r>
      <w:r w:rsidR="00914981" w:rsidRPr="00914981">
        <w:rPr>
          <w:bCs/>
          <w:lang w:val="en-US"/>
        </w:rPr>
        <w:t xml:space="preserve">the </w:t>
      </w:r>
      <w:r w:rsidRPr="00914981">
        <w:rPr>
          <w:bCs/>
          <w:lang w:val="en-US"/>
        </w:rPr>
        <w:t>FIL)</w:t>
      </w:r>
      <w:r w:rsidR="00914981" w:rsidRPr="00914981">
        <w:rPr>
          <w:bCs/>
          <w:lang w:val="en-US"/>
        </w:rPr>
        <w:t xml:space="preserve">. Therefore, </w:t>
      </w:r>
      <w:r w:rsidR="00282AE2">
        <w:t>Contractor</w:t>
      </w:r>
      <w:r w:rsidR="00282AE2" w:rsidRPr="00914981">
        <w:rPr>
          <w:bCs/>
          <w:lang w:val="en-US"/>
        </w:rPr>
        <w:t xml:space="preserve"> </w:t>
      </w:r>
      <w:bookmarkStart w:id="1" w:name="_GoBack"/>
      <w:bookmarkEnd w:id="1"/>
      <w:r w:rsidRPr="00914981">
        <w:rPr>
          <w:bCs/>
          <w:lang w:val="en-US"/>
        </w:rPr>
        <w:t>may not be able to utilize its normal worldwide insurance programmes and coverage to satisfy the Myanmar PSC’s insurance requirements.</w:t>
      </w:r>
    </w:p>
    <w:p w:rsidR="008C1321" w:rsidRPr="008C1321" w:rsidRDefault="008C1321" w:rsidP="00914981">
      <w:pPr>
        <w:ind w:left="737"/>
        <w:jc w:val="both"/>
        <w:rPr>
          <w:bCs/>
          <w:lang w:val="en-US"/>
        </w:rPr>
      </w:pPr>
    </w:p>
    <w:p w:rsidR="008C1321" w:rsidRPr="008C1321" w:rsidRDefault="00914981" w:rsidP="00914981">
      <w:pPr>
        <w:ind w:left="737"/>
        <w:jc w:val="both"/>
        <w:rPr>
          <w:bCs/>
          <w:lang w:val="en-US"/>
        </w:rPr>
      </w:pPr>
      <w:r w:rsidRPr="00914981">
        <w:rPr>
          <w:bCs/>
          <w:i/>
          <w:lang w:val="en-US"/>
        </w:rPr>
        <w:t>W</w:t>
      </w:r>
      <w:r w:rsidR="008C1321" w:rsidRPr="00914981">
        <w:rPr>
          <w:bCs/>
          <w:i/>
          <w:lang w:val="en-US"/>
        </w:rPr>
        <w:t>aiver of recovery</w:t>
      </w:r>
      <w:r w:rsidR="008C1321" w:rsidRPr="008C1321">
        <w:rPr>
          <w:bCs/>
          <w:lang w:val="en-US"/>
        </w:rPr>
        <w:t xml:space="preserve"> </w:t>
      </w:r>
    </w:p>
    <w:p w:rsidR="00F81335" w:rsidRDefault="00F81335" w:rsidP="00F81335">
      <w:pPr>
        <w:ind w:left="737"/>
        <w:jc w:val="both"/>
        <w:rPr>
          <w:bCs/>
          <w:lang w:val="en-US"/>
        </w:rPr>
      </w:pPr>
    </w:p>
    <w:p w:rsidR="00456420" w:rsidRPr="007E0A58" w:rsidRDefault="00914981" w:rsidP="007E0A58">
      <w:pPr>
        <w:numPr>
          <w:ilvl w:val="1"/>
          <w:numId w:val="29"/>
        </w:numPr>
        <w:jc w:val="both"/>
        <w:rPr>
          <w:bCs/>
          <w:lang w:val="en-US"/>
        </w:rPr>
      </w:pPr>
      <w:r>
        <w:rPr>
          <w:bCs/>
          <w:lang w:val="en-US"/>
        </w:rPr>
        <w:lastRenderedPageBreak/>
        <w:t>Section 24.3 of the Myanmar requires both parties to procure that insurance policies are endorsed so that insurers etc. will “</w:t>
      </w:r>
      <w:r w:rsidR="008C1321" w:rsidRPr="008C1321">
        <w:rPr>
          <w:rFonts w:hint="eastAsia"/>
          <w:bCs/>
          <w:lang w:val="en-US"/>
        </w:rPr>
        <w:t>not have any right of recovery against either of the parties</w:t>
      </w:r>
      <w:r>
        <w:rPr>
          <w:bCs/>
          <w:lang w:val="en-US"/>
        </w:rPr>
        <w:t xml:space="preserve"> … </w:t>
      </w:r>
      <w:r w:rsidR="008C1321" w:rsidRPr="008C1321">
        <w:rPr>
          <w:rFonts w:hint="eastAsia"/>
          <w:bCs/>
          <w:lang w:val="en-US"/>
        </w:rPr>
        <w:t>in any form whatsoever; and the rights of recovery with respect to this operation are mutually waived</w:t>
      </w:r>
      <w:r>
        <w:rPr>
          <w:bCs/>
          <w:lang w:val="en-US"/>
        </w:rPr>
        <w:t>”</w:t>
      </w:r>
      <w:r w:rsidR="008C1321" w:rsidRPr="008C1321">
        <w:rPr>
          <w:rFonts w:hint="eastAsia"/>
          <w:bCs/>
          <w:lang w:val="en-US"/>
        </w:rPr>
        <w:t xml:space="preserve">. </w:t>
      </w:r>
      <w:r>
        <w:rPr>
          <w:bCs/>
          <w:lang w:val="en-US"/>
        </w:rPr>
        <w:t xml:space="preserve">It is not entirely clear what the “right of recovery” means in this context. Assuming that it refers to </w:t>
      </w:r>
      <w:r w:rsidR="00195036">
        <w:rPr>
          <w:bCs/>
          <w:lang w:val="en-US"/>
        </w:rPr>
        <w:t xml:space="preserve">an insurer’s </w:t>
      </w:r>
      <w:r>
        <w:rPr>
          <w:bCs/>
          <w:lang w:val="en-US"/>
        </w:rPr>
        <w:t xml:space="preserve">general </w:t>
      </w:r>
      <w:r w:rsidR="008C1321" w:rsidRPr="00195036">
        <w:rPr>
          <w:bCs/>
          <w:lang w:val="en-US"/>
        </w:rPr>
        <w:t>subrogation rights</w:t>
      </w:r>
      <w:r w:rsidR="00195036">
        <w:rPr>
          <w:bCs/>
          <w:lang w:val="en-US"/>
        </w:rPr>
        <w:t xml:space="preserve">, then the provision is not unusual. For example, requirements for subrogation rights to be waived are also included in the </w:t>
      </w:r>
      <w:r w:rsidR="007E0A58">
        <w:rPr>
          <w:bCs/>
          <w:lang w:val="en-US"/>
        </w:rPr>
        <w:t>Madagascar and Timor-Leste PSCs. However, this point should be clarified.</w:t>
      </w:r>
    </w:p>
    <w:p w:rsidR="00456420" w:rsidRDefault="00456420" w:rsidP="00456420">
      <w:pPr>
        <w:ind w:left="737"/>
        <w:jc w:val="both"/>
        <w:rPr>
          <w:b/>
          <w:bCs/>
          <w:lang w:val="en-US"/>
        </w:rPr>
      </w:pPr>
    </w:p>
    <w:p w:rsidR="00F06F33" w:rsidRPr="00F06F33" w:rsidRDefault="00F06F33" w:rsidP="00E115EC">
      <w:pPr>
        <w:numPr>
          <w:ilvl w:val="0"/>
          <w:numId w:val="29"/>
        </w:numPr>
        <w:jc w:val="both"/>
        <w:rPr>
          <w:b/>
          <w:bCs/>
          <w:lang w:val="en-US"/>
        </w:rPr>
      </w:pPr>
      <w:r w:rsidRPr="00F06F33">
        <w:rPr>
          <w:b/>
          <w:bCs/>
          <w:lang w:val="en-US"/>
        </w:rPr>
        <w:t>Termination</w:t>
      </w:r>
      <w:r w:rsidR="00E115EC">
        <w:rPr>
          <w:b/>
          <w:bCs/>
          <w:lang w:val="en-US"/>
        </w:rPr>
        <w:t xml:space="preserve"> (section 25)</w:t>
      </w:r>
    </w:p>
    <w:p w:rsidR="00F06F33" w:rsidRPr="00F06F33" w:rsidRDefault="00F06F33" w:rsidP="00E115EC">
      <w:pPr>
        <w:ind w:left="737"/>
        <w:jc w:val="both"/>
        <w:rPr>
          <w:b/>
          <w:bCs/>
          <w:lang w:val="en-US"/>
        </w:rPr>
      </w:pPr>
    </w:p>
    <w:p w:rsidR="00F06F33" w:rsidRPr="00F06F33" w:rsidRDefault="00F06F33" w:rsidP="00E115EC">
      <w:pPr>
        <w:ind w:left="737"/>
        <w:jc w:val="both"/>
        <w:rPr>
          <w:bCs/>
          <w:i/>
          <w:lang w:val="en-US"/>
        </w:rPr>
      </w:pPr>
      <w:r w:rsidRPr="00F06F33">
        <w:rPr>
          <w:bCs/>
          <w:i/>
          <w:lang w:val="en-US"/>
        </w:rPr>
        <w:t xml:space="preserve">Termination for detrimental “political activities” </w:t>
      </w:r>
    </w:p>
    <w:p w:rsidR="00F06F33" w:rsidRPr="00F06F33" w:rsidRDefault="00F06F33" w:rsidP="00E115EC">
      <w:pPr>
        <w:ind w:left="737"/>
        <w:jc w:val="both"/>
        <w:rPr>
          <w:bCs/>
          <w:i/>
          <w:lang w:val="en-US"/>
        </w:rPr>
      </w:pPr>
    </w:p>
    <w:p w:rsidR="00F06F33" w:rsidRPr="00F06F33" w:rsidRDefault="00F06F33" w:rsidP="00F06F33">
      <w:pPr>
        <w:numPr>
          <w:ilvl w:val="1"/>
          <w:numId w:val="29"/>
        </w:numPr>
        <w:ind w:hanging="750"/>
        <w:jc w:val="both"/>
        <w:rPr>
          <w:bCs/>
          <w:lang w:val="en-US"/>
        </w:rPr>
      </w:pPr>
      <w:r w:rsidRPr="00F06F33">
        <w:rPr>
          <w:bCs/>
          <w:lang w:val="en-US"/>
        </w:rPr>
        <w:t xml:space="preserve">Section 25.2 </w:t>
      </w:r>
      <w:r w:rsidR="007D3E76">
        <w:rPr>
          <w:bCs/>
          <w:lang w:val="en-US"/>
        </w:rPr>
        <w:t xml:space="preserve">of the Myanmar PSC </w:t>
      </w:r>
      <w:r w:rsidRPr="00F06F33">
        <w:rPr>
          <w:bCs/>
          <w:lang w:val="en-US"/>
        </w:rPr>
        <w:t xml:space="preserve">allows MOGE to terminate the PSC if Contractor is involved in political activities detrimental to the Government of Myanmar. Clearly there is a risk that this clause could be used arbitrarily to terminate the PSC. This is not a typical termination provision in PSCs. </w:t>
      </w:r>
    </w:p>
    <w:p w:rsidR="00F06F33" w:rsidRPr="00AA2C6D" w:rsidRDefault="00F06F33" w:rsidP="00AA2C6D">
      <w:pPr>
        <w:ind w:left="750"/>
        <w:jc w:val="both"/>
        <w:rPr>
          <w:bCs/>
          <w:lang w:val="en-US"/>
        </w:rPr>
      </w:pPr>
    </w:p>
    <w:p w:rsidR="00AA2C6D" w:rsidRPr="00E115EC" w:rsidRDefault="00E115EC" w:rsidP="00E115EC">
      <w:pPr>
        <w:ind w:left="737"/>
        <w:jc w:val="both"/>
        <w:rPr>
          <w:i/>
        </w:rPr>
      </w:pPr>
      <w:r w:rsidRPr="00E115EC">
        <w:rPr>
          <w:i/>
        </w:rPr>
        <w:t>Title to physical assets on termination</w:t>
      </w:r>
    </w:p>
    <w:p w:rsidR="00AA2C6D" w:rsidRDefault="00AA2C6D" w:rsidP="00E115EC">
      <w:pPr>
        <w:ind w:left="780"/>
        <w:jc w:val="both"/>
        <w:rPr>
          <w:b/>
        </w:rPr>
      </w:pPr>
    </w:p>
    <w:p w:rsidR="00EE0192" w:rsidRPr="00EE0192" w:rsidRDefault="00195036" w:rsidP="00664E54">
      <w:pPr>
        <w:numPr>
          <w:ilvl w:val="1"/>
          <w:numId w:val="29"/>
        </w:numPr>
        <w:jc w:val="both"/>
      </w:pPr>
      <w:r w:rsidRPr="00195036">
        <w:rPr>
          <w:lang w:val="en-US"/>
        </w:rPr>
        <w:t>Section 25.2 and 25.3 provides that any unexpended minimum expenditures and any imported equipment</w:t>
      </w:r>
      <w:r w:rsidR="00667431">
        <w:rPr>
          <w:lang w:val="en-US"/>
        </w:rPr>
        <w:t>. The costs of physical assets are recoverable und</w:t>
      </w:r>
      <w:r w:rsidR="001D6DF3">
        <w:rPr>
          <w:lang w:val="en-US"/>
        </w:rPr>
        <w:t xml:space="preserve">er the Myanmar PSC (see section </w:t>
      </w:r>
      <w:r w:rsidR="00667431" w:rsidRPr="00667431">
        <w:rPr>
          <w:bCs/>
          <w:lang w:val="en-US"/>
        </w:rPr>
        <w:t>16 of the Myanmar PSC</w:t>
      </w:r>
      <w:r w:rsidR="001D6DF3">
        <w:rPr>
          <w:bCs/>
          <w:lang w:val="en-US"/>
        </w:rPr>
        <w:t xml:space="preserve">, as discussed in paragraph 15 above). </w:t>
      </w:r>
      <w:r w:rsidR="008C1321" w:rsidRPr="001D6DF3">
        <w:rPr>
          <w:lang w:val="en-US"/>
        </w:rPr>
        <w:t xml:space="preserve">Pursuant to </w:t>
      </w:r>
      <w:r w:rsidR="000235E5">
        <w:rPr>
          <w:lang w:val="en-US"/>
        </w:rPr>
        <w:t xml:space="preserve">paragraph 2.1 of </w:t>
      </w:r>
      <w:r w:rsidR="008C1321" w:rsidRPr="001D6DF3">
        <w:rPr>
          <w:lang w:val="en-US"/>
        </w:rPr>
        <w:t xml:space="preserve">Annexure C </w:t>
      </w:r>
      <w:r w:rsidR="000235E5">
        <w:rPr>
          <w:lang w:val="en-US"/>
        </w:rPr>
        <w:t>of the Myanmar PSC, c</w:t>
      </w:r>
      <w:r w:rsidR="008C1321" w:rsidRPr="001D6DF3">
        <w:rPr>
          <w:lang w:val="en-US"/>
        </w:rPr>
        <w:t xml:space="preserve">apital </w:t>
      </w:r>
      <w:r w:rsidR="000235E5">
        <w:rPr>
          <w:lang w:val="en-US"/>
        </w:rPr>
        <w:t>e</w:t>
      </w:r>
      <w:r w:rsidR="008C1321" w:rsidRPr="001D6DF3">
        <w:rPr>
          <w:lang w:val="en-US"/>
        </w:rPr>
        <w:t>xpendit</w:t>
      </w:r>
      <w:r w:rsidR="000235E5">
        <w:rPr>
          <w:lang w:val="en-US"/>
        </w:rPr>
        <w:t xml:space="preserve">ures incurred in respect of </w:t>
      </w:r>
      <w:r w:rsidR="008C1321" w:rsidRPr="001D6DF3">
        <w:rPr>
          <w:lang w:val="en-US"/>
        </w:rPr>
        <w:t xml:space="preserve">Petroleum Operations </w:t>
      </w:r>
      <w:r w:rsidR="000235E5">
        <w:rPr>
          <w:lang w:val="en-US"/>
        </w:rPr>
        <w:t xml:space="preserve">are </w:t>
      </w:r>
      <w:r w:rsidR="008C1321" w:rsidRPr="001D6DF3">
        <w:rPr>
          <w:lang w:val="en-US"/>
        </w:rPr>
        <w:t>recoverable at a rate of 25% per annum based on amortization at that rate.</w:t>
      </w:r>
      <w:r w:rsidR="000235E5">
        <w:rPr>
          <w:lang w:val="en-US"/>
        </w:rPr>
        <w:t xml:space="preserve"> However, the situation regarding cost recovery of physical assets on termination is not clear</w:t>
      </w:r>
      <w:r w:rsidR="009664EE">
        <w:rPr>
          <w:lang w:val="en-US"/>
        </w:rPr>
        <w:t xml:space="preserve">. </w:t>
      </w:r>
    </w:p>
    <w:p w:rsidR="00EE0192" w:rsidRPr="00EE0192" w:rsidRDefault="00EE0192" w:rsidP="00EE0192">
      <w:pPr>
        <w:ind w:left="737"/>
        <w:jc w:val="both"/>
      </w:pPr>
    </w:p>
    <w:p w:rsidR="00EE0192" w:rsidRPr="003977DB" w:rsidRDefault="00EE0192" w:rsidP="00EE0192">
      <w:pPr>
        <w:numPr>
          <w:ilvl w:val="0"/>
          <w:numId w:val="29"/>
        </w:numPr>
        <w:jc w:val="both"/>
        <w:rPr>
          <w:b/>
        </w:rPr>
      </w:pPr>
      <w:r w:rsidRPr="003977DB">
        <w:rPr>
          <w:b/>
        </w:rPr>
        <w:t>Secrecy (section 27.5)</w:t>
      </w:r>
    </w:p>
    <w:p w:rsidR="00EE0192" w:rsidRDefault="00EE0192" w:rsidP="00EE0192">
      <w:pPr>
        <w:jc w:val="both"/>
        <w:rPr>
          <w:lang w:val="en-US"/>
        </w:rPr>
      </w:pPr>
    </w:p>
    <w:p w:rsidR="00B80D33" w:rsidRPr="00B80D33" w:rsidRDefault="00EE0192" w:rsidP="003977DB">
      <w:pPr>
        <w:numPr>
          <w:ilvl w:val="1"/>
          <w:numId w:val="29"/>
        </w:numPr>
        <w:jc w:val="both"/>
        <w:rPr>
          <w:lang w:val="en-US"/>
        </w:rPr>
      </w:pPr>
      <w:r>
        <w:t>Section 27.5 requires the Contractor to maintain in secrecy</w:t>
      </w:r>
      <w:r w:rsidR="00406F87">
        <w:t xml:space="preserve"> </w:t>
      </w:r>
      <w:r w:rsidR="00E00031" w:rsidRPr="003977DB">
        <w:rPr>
          <w:lang w:val="en-US"/>
        </w:rPr>
        <w:t xml:space="preserve">and confidence </w:t>
      </w:r>
      <w:r w:rsidR="00E00031" w:rsidRPr="003977DB">
        <w:rPr>
          <w:rFonts w:hint="eastAsia"/>
          <w:lang w:val="en-US"/>
        </w:rPr>
        <w:t xml:space="preserve">all data and information purchased or acquired from MOGE as well as during the course of operations in </w:t>
      </w:r>
      <w:r w:rsidR="000C00EC" w:rsidRPr="003977DB">
        <w:rPr>
          <w:lang w:val="en-US"/>
        </w:rPr>
        <w:t xml:space="preserve">Myanmar. We would recommend to push for a carve out to allow for disclosure </w:t>
      </w:r>
      <w:r w:rsidR="003977DB" w:rsidRPr="003977DB">
        <w:t>if and to the extent required by</w:t>
      </w:r>
      <w:r w:rsidR="003977DB">
        <w:t xml:space="preserve"> l</w:t>
      </w:r>
      <w:r w:rsidR="003977DB" w:rsidRPr="003977DB">
        <w:t>aw</w:t>
      </w:r>
      <w:r w:rsidR="003977DB">
        <w:t xml:space="preserve">, </w:t>
      </w:r>
      <w:r w:rsidR="003977DB" w:rsidRPr="003977DB">
        <w:t xml:space="preserve">any securities exchange on which </w:t>
      </w:r>
      <w:r w:rsidR="003977DB">
        <w:t xml:space="preserve">the Contractor’s (or its Affiliate’s) </w:t>
      </w:r>
      <w:r w:rsidR="003977DB" w:rsidRPr="003977DB">
        <w:t>securities are listed</w:t>
      </w:r>
      <w:r w:rsidR="003977DB">
        <w:t xml:space="preserve">, </w:t>
      </w:r>
      <w:r w:rsidR="003977DB" w:rsidRPr="003977DB">
        <w:t>or</w:t>
      </w:r>
      <w:r w:rsidR="003977DB">
        <w:t xml:space="preserve"> </w:t>
      </w:r>
      <w:r w:rsidR="003977DB" w:rsidRPr="003977DB">
        <w:t>any regu</w:t>
      </w:r>
      <w:r w:rsidR="003977DB">
        <w:t xml:space="preserve">latory or governmental </w:t>
      </w:r>
      <w:r w:rsidR="003977DB" w:rsidRPr="003977DB">
        <w:t xml:space="preserve">authority to which </w:t>
      </w:r>
      <w:r w:rsidR="003977DB">
        <w:t xml:space="preserve">the Contractor submits. </w:t>
      </w:r>
    </w:p>
    <w:p w:rsidR="00B80D33" w:rsidRPr="00B80D33" w:rsidRDefault="00B80D33" w:rsidP="00B80D33">
      <w:pPr>
        <w:ind w:left="737"/>
        <w:jc w:val="both"/>
        <w:rPr>
          <w:lang w:val="en-US"/>
        </w:rPr>
      </w:pPr>
    </w:p>
    <w:p w:rsidR="00B80D33" w:rsidRPr="00B80D33" w:rsidRDefault="00B80D33" w:rsidP="003977DB">
      <w:pPr>
        <w:numPr>
          <w:ilvl w:val="1"/>
          <w:numId w:val="29"/>
        </w:numPr>
        <w:jc w:val="both"/>
        <w:rPr>
          <w:b/>
          <w:lang w:val="en-US"/>
        </w:rPr>
      </w:pPr>
      <w:r w:rsidRPr="00B80D33">
        <w:rPr>
          <w:b/>
          <w:lang w:val="en-US"/>
        </w:rPr>
        <w:t xml:space="preserve">Stabilization (section 27.7) </w:t>
      </w:r>
    </w:p>
    <w:p w:rsidR="00B80D33" w:rsidRDefault="00B80D33" w:rsidP="00B80D33">
      <w:pPr>
        <w:jc w:val="both"/>
      </w:pPr>
    </w:p>
    <w:p w:rsidR="00D53B50" w:rsidRDefault="00B80D33" w:rsidP="00D53B50">
      <w:pPr>
        <w:numPr>
          <w:ilvl w:val="1"/>
          <w:numId w:val="29"/>
        </w:numPr>
        <w:jc w:val="both"/>
        <w:rPr>
          <w:lang w:val="en-US"/>
        </w:rPr>
      </w:pPr>
      <w:r>
        <w:t xml:space="preserve">Section 27.7 of the Myanmar PSC contains a mutual “economic equilibrium” type stabilization clause providing for adjustments to the contract in order to maintain each party’s normal economic benefit thereunder. This is in contrast to the “freezing” type stabilization clause (used in, for example, the Kurdistan PSC) whereby </w:t>
      </w:r>
      <w:r>
        <w:rPr>
          <w:lang w:val="en-US"/>
        </w:rPr>
        <w:t>t</w:t>
      </w:r>
      <w:r w:rsidRPr="00B80D33">
        <w:rPr>
          <w:lang w:val="en-US"/>
        </w:rPr>
        <w:t>he</w:t>
      </w:r>
      <w:r>
        <w:rPr>
          <w:lang w:val="en-US"/>
        </w:rPr>
        <w:t xml:space="preserve"> Government guarantees </w:t>
      </w:r>
      <w:r w:rsidRPr="00B80D33">
        <w:rPr>
          <w:lang w:val="en-US"/>
        </w:rPr>
        <w:t>for the duration of th</w:t>
      </w:r>
      <w:r>
        <w:rPr>
          <w:lang w:val="en-US"/>
        </w:rPr>
        <w:t xml:space="preserve">e PSC </w:t>
      </w:r>
      <w:r w:rsidRPr="00B80D33">
        <w:rPr>
          <w:lang w:val="en-US"/>
        </w:rPr>
        <w:t>that it will maintain the stability of the fiscal and economic conditions of th</w:t>
      </w:r>
      <w:r>
        <w:rPr>
          <w:lang w:val="en-US"/>
        </w:rPr>
        <w:t>e contract</w:t>
      </w:r>
      <w:r w:rsidRPr="00B80D33">
        <w:rPr>
          <w:lang w:val="en-US"/>
        </w:rPr>
        <w:t>.</w:t>
      </w:r>
      <w:r>
        <w:rPr>
          <w:lang w:val="en-US"/>
        </w:rPr>
        <w:t xml:space="preserve"> We understand that investors’ preference has </w:t>
      </w:r>
      <w:r w:rsidRPr="00B80D33">
        <w:rPr>
          <w:lang w:val="en-US"/>
        </w:rPr>
        <w:t xml:space="preserve">shifted from </w:t>
      </w:r>
      <w:r>
        <w:rPr>
          <w:lang w:val="en-US"/>
        </w:rPr>
        <w:t>“freezing”</w:t>
      </w:r>
      <w:r w:rsidRPr="00B80D33">
        <w:rPr>
          <w:lang w:val="en-US"/>
        </w:rPr>
        <w:t xml:space="preserve"> </w:t>
      </w:r>
      <w:r>
        <w:rPr>
          <w:lang w:val="en-US"/>
        </w:rPr>
        <w:t xml:space="preserve">type </w:t>
      </w:r>
      <w:r>
        <w:rPr>
          <w:lang w:val="en-US"/>
        </w:rPr>
        <w:lastRenderedPageBreak/>
        <w:t xml:space="preserve">stabilization provisions </w:t>
      </w:r>
      <w:r w:rsidRPr="00B80D33">
        <w:rPr>
          <w:lang w:val="en-US"/>
        </w:rPr>
        <w:t xml:space="preserve">towards </w:t>
      </w:r>
      <w:r>
        <w:rPr>
          <w:lang w:val="en-US"/>
        </w:rPr>
        <w:t>“economic equilibrium”</w:t>
      </w:r>
      <w:r w:rsidRPr="00B80D33">
        <w:rPr>
          <w:lang w:val="en-US"/>
        </w:rPr>
        <w:t xml:space="preserve"> clauses</w:t>
      </w:r>
      <w:r>
        <w:rPr>
          <w:lang w:val="en-US"/>
        </w:rPr>
        <w:t xml:space="preserve">, in particular as </w:t>
      </w:r>
      <w:r w:rsidRPr="00B80D33">
        <w:rPr>
          <w:lang w:val="en-US"/>
        </w:rPr>
        <w:t>economic equilibrium clauses are</w:t>
      </w:r>
      <w:r>
        <w:rPr>
          <w:lang w:val="en-US"/>
        </w:rPr>
        <w:t xml:space="preserve"> considered to be more </w:t>
      </w:r>
      <w:r w:rsidRPr="00B80D33">
        <w:rPr>
          <w:lang w:val="en-US"/>
        </w:rPr>
        <w:t xml:space="preserve">likely to be enforceable because they are </w:t>
      </w:r>
      <w:r>
        <w:rPr>
          <w:lang w:val="en-US"/>
        </w:rPr>
        <w:t>less of a fetter on a state’</w:t>
      </w:r>
      <w:r w:rsidRPr="00B80D33">
        <w:rPr>
          <w:lang w:val="en-US"/>
        </w:rPr>
        <w:t>s legislative power.</w:t>
      </w:r>
      <w:r w:rsidR="00D53B50">
        <w:rPr>
          <w:lang w:val="en-US"/>
        </w:rPr>
        <w:t xml:space="preserve"> </w:t>
      </w:r>
    </w:p>
    <w:p w:rsidR="00D53B50" w:rsidRDefault="00D53B50" w:rsidP="00D53B50">
      <w:pPr>
        <w:jc w:val="both"/>
        <w:rPr>
          <w:lang w:val="en-US"/>
        </w:rPr>
      </w:pPr>
    </w:p>
    <w:p w:rsidR="003977DB" w:rsidRPr="00D53B50" w:rsidRDefault="00282AE2" w:rsidP="00D53B50">
      <w:pPr>
        <w:numPr>
          <w:ilvl w:val="1"/>
          <w:numId w:val="29"/>
        </w:numPr>
        <w:jc w:val="both"/>
        <w:rPr>
          <w:lang w:val="en-US"/>
        </w:rPr>
      </w:pPr>
      <w:r>
        <w:t>Contractor</w:t>
      </w:r>
      <w:r w:rsidRPr="00D53B50">
        <w:rPr>
          <w:lang w:val="en-US"/>
        </w:rPr>
        <w:t xml:space="preserve"> </w:t>
      </w:r>
      <w:r>
        <w:rPr>
          <w:lang w:val="en-US"/>
        </w:rPr>
        <w:t xml:space="preserve">may consider to </w:t>
      </w:r>
      <w:r w:rsidR="00B80D33" w:rsidRPr="00D53B50">
        <w:rPr>
          <w:lang w:val="en-US"/>
        </w:rPr>
        <w:t xml:space="preserve">include a clear mechanism to deal with situations where the Contractor believes that </w:t>
      </w:r>
      <w:r w:rsidR="003977DB" w:rsidRPr="00D53B50">
        <w:rPr>
          <w:lang w:val="en-US"/>
        </w:rPr>
        <w:t>its economic position has been detrimentally affected</w:t>
      </w:r>
      <w:r w:rsidR="00B80D33" w:rsidRPr="00D53B50">
        <w:rPr>
          <w:lang w:val="en-US"/>
        </w:rPr>
        <w:t xml:space="preserve">, and in particular to </w:t>
      </w:r>
      <w:r w:rsidR="00D53B50" w:rsidRPr="00D53B50">
        <w:rPr>
          <w:lang w:val="en-US"/>
        </w:rPr>
        <w:t xml:space="preserve">provide for arbitration of the matter if the parties are unable to agree on amending the contract. </w:t>
      </w:r>
      <w:r>
        <w:t>Contractor</w:t>
      </w:r>
      <w:r w:rsidRPr="00D53B50">
        <w:rPr>
          <w:lang w:val="en-US"/>
        </w:rPr>
        <w:t xml:space="preserve"> </w:t>
      </w:r>
      <w:r w:rsidR="00D53B50" w:rsidRPr="00D53B50">
        <w:rPr>
          <w:lang w:val="en-US"/>
        </w:rPr>
        <w:t xml:space="preserve">may also wish to push for a provision to the effect that the Contractor shall be entitled </w:t>
      </w:r>
      <w:r w:rsidR="003977DB" w:rsidRPr="00D53B50">
        <w:rPr>
          <w:lang w:val="en-US"/>
        </w:rPr>
        <w:t xml:space="preserve">to request the benefit of any future changes to the petroleum legislation or any other legislation complementing, amending or replacing it. </w:t>
      </w:r>
    </w:p>
    <w:p w:rsidR="003977DB" w:rsidRPr="003977DB" w:rsidRDefault="003977DB" w:rsidP="00D53B50">
      <w:pPr>
        <w:ind w:left="720"/>
        <w:jc w:val="both"/>
        <w:rPr>
          <w:lang w:val="en-US"/>
        </w:rPr>
      </w:pPr>
    </w:p>
    <w:p w:rsidR="001D6DF3" w:rsidRDefault="001D6DF3" w:rsidP="001D6DF3">
      <w:pPr>
        <w:jc w:val="both"/>
        <w:rPr>
          <w:lang w:val="en-US"/>
        </w:rPr>
      </w:pPr>
    </w:p>
    <w:p w:rsidR="00664E54" w:rsidRPr="001D6DF3" w:rsidRDefault="001D6DF3" w:rsidP="001D6DF3">
      <w:pPr>
        <w:jc w:val="both"/>
      </w:pPr>
      <w:r w:rsidRPr="001D6DF3">
        <w:rPr>
          <w:lang w:val="en-US"/>
        </w:rPr>
        <w:t xml:space="preserve">Please note that information regarding third country PSCs as referred to in this Memorandum </w:t>
      </w:r>
      <w:r w:rsidR="00664E54" w:rsidRPr="001D6DF3">
        <w:rPr>
          <w:lang w:val="en-US"/>
        </w:rPr>
        <w:t xml:space="preserve">is for illustrative purposes only and is compiled by reference to publically available model production sharing contracts / agreements and other third party sources. No representation or warranty (express or implied) is given as to the accuracy or completeness of the information contained in this </w:t>
      </w:r>
      <w:r w:rsidRPr="001D6DF3">
        <w:rPr>
          <w:lang w:val="en-US"/>
        </w:rPr>
        <w:t>Memorandum relating to such third country PSCs or other third party sources.</w:t>
      </w:r>
      <w:r w:rsidR="00664E54" w:rsidRPr="001D6DF3">
        <w:rPr>
          <w:lang w:val="en-US"/>
        </w:rPr>
        <w:t xml:space="preserve"> Charltons does not advise on the law of any of the jurisdictions referred to herein. </w:t>
      </w:r>
    </w:p>
    <w:p w:rsidR="001D7C7E" w:rsidRPr="00F06F33" w:rsidRDefault="001D7C7E" w:rsidP="002A3464">
      <w:pPr>
        <w:ind w:left="720" w:hangingChars="300" w:hanging="720"/>
        <w:jc w:val="both"/>
      </w:pPr>
    </w:p>
    <w:p w:rsidR="001D7C7E" w:rsidRPr="00F06F33" w:rsidRDefault="001D7C7E">
      <w:pPr>
        <w:pStyle w:val="BodyText"/>
      </w:pPr>
    </w:p>
    <w:p w:rsidR="001D7C7E" w:rsidRPr="00F06F33" w:rsidRDefault="001D7C7E">
      <w:pPr>
        <w:jc w:val="both"/>
      </w:pPr>
    </w:p>
    <w:p w:rsidR="001D7C7E" w:rsidRPr="00F06F33" w:rsidRDefault="001D7C7E">
      <w:pPr>
        <w:pStyle w:val="Heading1"/>
      </w:pPr>
      <w:r w:rsidRPr="00F06F33">
        <w:t>CHARLTONS</w:t>
      </w:r>
    </w:p>
    <w:p w:rsidR="00E34CD4" w:rsidRPr="00F06F33" w:rsidRDefault="00F06F33" w:rsidP="001D6DF3">
      <w:pPr>
        <w:rPr>
          <w:b/>
        </w:rPr>
      </w:pPr>
      <w:r>
        <w:rPr>
          <w:lang w:eastAsia="zh-TW"/>
        </w:rPr>
        <w:t>3</w:t>
      </w:r>
      <w:r w:rsidR="00937834" w:rsidRPr="00F06F33">
        <w:rPr>
          <w:lang w:eastAsia="zh-TW"/>
        </w:rPr>
        <w:t xml:space="preserve"> </w:t>
      </w:r>
      <w:r>
        <w:rPr>
          <w:lang w:eastAsia="zh-TW"/>
        </w:rPr>
        <w:t>June 2013</w:t>
      </w:r>
    </w:p>
    <w:p w:rsidR="00E34CD4" w:rsidRPr="00F06F33" w:rsidRDefault="00E34CD4" w:rsidP="00E34CD4"/>
    <w:sectPr w:rsidR="00E34CD4" w:rsidRPr="00F06F33" w:rsidSect="00D53B50">
      <w:headerReference w:type="default" r:id="rId9"/>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7E" w:rsidRDefault="00702E7E">
      <w:r>
        <w:separator/>
      </w:r>
    </w:p>
  </w:endnote>
  <w:endnote w:type="continuationSeparator" w:id="0">
    <w:p w:rsidR="00702E7E" w:rsidRDefault="00702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33" w:rsidRDefault="00B80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0D33" w:rsidRDefault="00B80D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33" w:rsidRDefault="00B80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2AE2">
      <w:rPr>
        <w:rStyle w:val="PageNumber"/>
        <w:noProof/>
      </w:rPr>
      <w:t>19</w:t>
    </w:r>
    <w:r>
      <w:rPr>
        <w:rStyle w:val="PageNumber"/>
      </w:rPr>
      <w:fldChar w:fldCharType="end"/>
    </w:r>
  </w:p>
  <w:p w:rsidR="00B80D33" w:rsidRDefault="00B80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7E" w:rsidRDefault="00702E7E">
      <w:r>
        <w:separator/>
      </w:r>
    </w:p>
  </w:footnote>
  <w:footnote w:type="continuationSeparator" w:id="0">
    <w:p w:rsidR="00702E7E" w:rsidRDefault="00702E7E">
      <w:r>
        <w:continuationSeparator/>
      </w:r>
    </w:p>
  </w:footnote>
  <w:footnote w:id="1">
    <w:p w:rsidR="00B80D33" w:rsidRPr="00E12E6D" w:rsidRDefault="00B80D33">
      <w:pPr>
        <w:pStyle w:val="FootnoteText"/>
        <w:rPr>
          <w:lang w:val="en-US"/>
        </w:rPr>
      </w:pPr>
      <w:r>
        <w:rPr>
          <w:rStyle w:val="FootnoteReference"/>
        </w:rPr>
        <w:footnoteRef/>
      </w:r>
      <w:r>
        <w:t xml:space="preserve"> </w:t>
      </w:r>
      <w:r>
        <w:rPr>
          <w:lang w:val="en-US"/>
        </w:rPr>
        <w:t xml:space="preserve">Although see our comments on composition of the Management Committee in paragraph 17 below. </w:t>
      </w:r>
    </w:p>
  </w:footnote>
  <w:footnote w:id="2">
    <w:p w:rsidR="00B80D33" w:rsidRPr="00D00906" w:rsidRDefault="00B80D33">
      <w:pPr>
        <w:pStyle w:val="FootnoteText"/>
        <w:rPr>
          <w:lang w:val="en-US"/>
        </w:rPr>
      </w:pPr>
      <w:r>
        <w:rPr>
          <w:rStyle w:val="FootnoteReference"/>
        </w:rPr>
        <w:footnoteRef/>
      </w:r>
      <w:r>
        <w:t xml:space="preserve"> </w:t>
      </w:r>
      <w:r>
        <w:rPr>
          <w:lang w:val="en-US"/>
        </w:rPr>
        <w:t xml:space="preserve">For further details on bonuses payable under the Myanmar PSC, please see paragraph 10 below. </w:t>
      </w:r>
    </w:p>
  </w:footnote>
  <w:footnote w:id="3">
    <w:p w:rsidR="00B80D33" w:rsidRPr="00DA5F47" w:rsidRDefault="00B80D33" w:rsidP="00F06F33">
      <w:pPr>
        <w:pStyle w:val="FootnoteText"/>
        <w:jc w:val="both"/>
        <w:rPr>
          <w:sz w:val="16"/>
          <w:szCs w:val="16"/>
          <w:lang w:val="en-US"/>
        </w:rPr>
      </w:pPr>
      <w:r w:rsidRPr="00DA5F47">
        <w:rPr>
          <w:rStyle w:val="FootnoteReference"/>
          <w:sz w:val="16"/>
          <w:szCs w:val="16"/>
        </w:rPr>
        <w:footnoteRef/>
      </w:r>
      <w:r w:rsidRPr="00DA5F47">
        <w:rPr>
          <w:sz w:val="16"/>
          <w:szCs w:val="16"/>
        </w:rPr>
        <w:t xml:space="preserve"> “Petroleum Operations” means “all operations under [the PSC], including without limitation, Exploration Operations, Development Operations, </w:t>
      </w:r>
      <w:r w:rsidRPr="00DA5F47">
        <w:rPr>
          <w:sz w:val="16"/>
          <w:szCs w:val="16"/>
          <w:lang w:val="en-US"/>
        </w:rPr>
        <w:t>all associated planning, design, administrative, engineering, construction and maintenance operations, and any other operations and activities, otherwise contemplated under the provisions of [the PSC]”.</w:t>
      </w:r>
    </w:p>
  </w:footnote>
  <w:footnote w:id="4">
    <w:p w:rsidR="00B80D33" w:rsidRPr="00D77870" w:rsidRDefault="00B80D33" w:rsidP="00D77870">
      <w:pPr>
        <w:pStyle w:val="FootnoteText"/>
        <w:jc w:val="both"/>
        <w:rPr>
          <w:lang w:val="en-US"/>
        </w:rPr>
      </w:pPr>
      <w:r>
        <w:rPr>
          <w:rStyle w:val="FootnoteReference"/>
        </w:rPr>
        <w:footnoteRef/>
      </w:r>
      <w:r>
        <w:t xml:space="preserve"> </w:t>
      </w:r>
      <w:r>
        <w:rPr>
          <w:lang w:val="en-US"/>
        </w:rPr>
        <w:t xml:space="preserve">We also suggest including an express right to export and sell Crude Oil (and retain the proceeds abroad) in section 9.8(a) of the Myanmar PSC (see our comments in paragraph 8.4 above). </w:t>
      </w:r>
    </w:p>
  </w:footnote>
  <w:footnote w:id="5">
    <w:p w:rsidR="00B80D33" w:rsidRPr="00027023" w:rsidRDefault="00B80D33" w:rsidP="00027023">
      <w:pPr>
        <w:pStyle w:val="FootnoteText"/>
        <w:rPr>
          <w:lang w:val="en-US"/>
        </w:rPr>
      </w:pPr>
      <w:r>
        <w:rPr>
          <w:rStyle w:val="FootnoteReference"/>
        </w:rPr>
        <w:footnoteRef/>
      </w:r>
      <w:r>
        <w:t xml:space="preserve"> However, we understand that </w:t>
      </w:r>
      <w:r>
        <w:rPr>
          <w:lang w:val="en-US"/>
        </w:rPr>
        <w:t>u</w:t>
      </w:r>
      <w:r w:rsidRPr="00027023">
        <w:rPr>
          <w:lang w:val="en-US"/>
        </w:rPr>
        <w:t>nder Myanmar law, it is not possible for parties to oust the jurisdiction of the Myanmar courts entirely and agree to arbitration as an exclusive remedy. The Myanmar courts have the discretionary power to stay legal proceedings where the dispute is covered by an arbitration agreement, but they retain a supervisory role over the conduct of the arbitration and enforcement of the award.</w:t>
      </w:r>
    </w:p>
    <w:p w:rsidR="00B80D33" w:rsidRPr="00027023" w:rsidRDefault="00B80D33">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B50" w:rsidRPr="00D53B50" w:rsidRDefault="00D53B50">
    <w:pPr>
      <w:pStyle w:val="Header"/>
      <w:rPr>
        <w:b/>
        <w:i/>
        <w:sz w:val="20"/>
        <w:szCs w:val="20"/>
      </w:rPr>
    </w:pPr>
    <w:r w:rsidRPr="00D53B50">
      <w:rPr>
        <w:b/>
        <w:i/>
        <w:sz w:val="20"/>
        <w:szCs w:val="20"/>
      </w:rPr>
      <w:t>Analysis of Myanmar model production sharing contract (4 June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508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2E3310"/>
    <w:multiLevelType w:val="hybridMultilevel"/>
    <w:tmpl w:val="9F48024C"/>
    <w:lvl w:ilvl="0" w:tplc="63AC19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75210D"/>
    <w:multiLevelType w:val="multilevel"/>
    <w:tmpl w:val="CD9A2806"/>
    <w:lvl w:ilvl="0">
      <w:start w:val="1"/>
      <w:numFmt w:val="low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6EB0726"/>
    <w:multiLevelType w:val="hybridMultilevel"/>
    <w:tmpl w:val="7982D680"/>
    <w:lvl w:ilvl="0" w:tplc="7EE2322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384019"/>
    <w:multiLevelType w:val="hybridMultilevel"/>
    <w:tmpl w:val="C358B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FD6C5B"/>
    <w:multiLevelType w:val="hybridMultilevel"/>
    <w:tmpl w:val="7AA0BF40"/>
    <w:lvl w:ilvl="0" w:tplc="B26C89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E84493"/>
    <w:multiLevelType w:val="hybridMultilevel"/>
    <w:tmpl w:val="78887662"/>
    <w:lvl w:ilvl="0" w:tplc="71B6D54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784D25"/>
    <w:multiLevelType w:val="hybridMultilevel"/>
    <w:tmpl w:val="3898A9A8"/>
    <w:lvl w:ilvl="0" w:tplc="92C2806C">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3F05620"/>
    <w:multiLevelType w:val="hybridMultilevel"/>
    <w:tmpl w:val="BFF6E0CC"/>
    <w:lvl w:ilvl="0" w:tplc="8D86B35A">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F650C5"/>
    <w:multiLevelType w:val="multilevel"/>
    <w:tmpl w:val="10BEA65A"/>
    <w:lvl w:ilvl="0">
      <w:start w:val="1"/>
      <w:numFmt w:val="decimal"/>
      <w:lvlText w:val="%1."/>
      <w:lvlJc w:val="left"/>
      <w:pPr>
        <w:ind w:left="737" w:hanging="377"/>
      </w:pPr>
      <w:rPr>
        <w:rFonts w:hint="default"/>
      </w:rPr>
    </w:lvl>
    <w:lvl w:ilvl="1">
      <w:start w:val="1"/>
      <w:numFmt w:val="decimal"/>
      <w:isLgl/>
      <w:lvlText w:val="%1.%2"/>
      <w:lvlJc w:val="left"/>
      <w:pPr>
        <w:tabs>
          <w:tab w:val="num" w:pos="750"/>
        </w:tabs>
        <w:ind w:left="750" w:hanging="39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8FA4C4C"/>
    <w:multiLevelType w:val="multilevel"/>
    <w:tmpl w:val="CC9AC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1067903"/>
    <w:multiLevelType w:val="multilevel"/>
    <w:tmpl w:val="6F406D1C"/>
    <w:lvl w:ilvl="0">
      <w:start w:val="1"/>
      <w:numFmt w:val="decimal"/>
      <w:lvlText w:val="%1."/>
      <w:lvlJc w:val="left"/>
      <w:pPr>
        <w:ind w:left="737" w:hanging="377"/>
      </w:pPr>
      <w:rPr>
        <w:rFonts w:hint="default"/>
      </w:rPr>
    </w:lvl>
    <w:lvl w:ilvl="1">
      <w:start w:val="1"/>
      <w:numFmt w:val="decimal"/>
      <w:isLgl/>
      <w:lvlText w:val="%1.%2"/>
      <w:lvlJc w:val="left"/>
      <w:pPr>
        <w:ind w:left="737" w:hanging="377"/>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2220EAE"/>
    <w:multiLevelType w:val="hybridMultilevel"/>
    <w:tmpl w:val="A4AE4A8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15">
    <w:nsid w:val="334A5AC5"/>
    <w:multiLevelType w:val="hybridMultilevel"/>
    <w:tmpl w:val="16BC785E"/>
    <w:lvl w:ilvl="0" w:tplc="327E8B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34D3EF4"/>
    <w:multiLevelType w:val="hybridMultilevel"/>
    <w:tmpl w:val="3544E7D2"/>
    <w:lvl w:ilvl="0" w:tplc="015EC6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737F9C"/>
    <w:multiLevelType w:val="multilevel"/>
    <w:tmpl w:val="26201052"/>
    <w:lvl w:ilvl="0">
      <w:start w:val="1"/>
      <w:numFmt w:val="decimal"/>
      <w:lvlText w:val="%1."/>
      <w:lvlJc w:val="left"/>
      <w:pPr>
        <w:ind w:left="737" w:hanging="737"/>
      </w:pPr>
      <w:rPr>
        <w:rFonts w:hint="default"/>
      </w:rPr>
    </w:lvl>
    <w:lvl w:ilvl="1">
      <w:start w:val="1"/>
      <w:numFmt w:val="decimal"/>
      <w:isLgl/>
      <w:lvlText w:val="%1.%2"/>
      <w:lvlJc w:val="left"/>
      <w:pPr>
        <w:ind w:left="737" w:hanging="737"/>
      </w:pPr>
      <w:rPr>
        <w:rFonts w:hint="default"/>
        <w:b w:val="0"/>
        <w:bCs w:val="0"/>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33DE1C42"/>
    <w:multiLevelType w:val="hybridMultilevel"/>
    <w:tmpl w:val="CD9A2806"/>
    <w:lvl w:ilvl="0" w:tplc="26389D52">
      <w:start w:val="1"/>
      <w:numFmt w:val="lowerRoman"/>
      <w:lvlText w:val="(%1)"/>
      <w:lvlJc w:val="left"/>
      <w:pPr>
        <w:tabs>
          <w:tab w:val="num" w:pos="1080"/>
        </w:tabs>
        <w:ind w:left="1080" w:hanging="720"/>
      </w:pPr>
      <w:rPr>
        <w:rFonts w:hint="default"/>
      </w:rPr>
    </w:lvl>
    <w:lvl w:ilvl="1" w:tplc="D3C6D9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60C3BB0"/>
    <w:multiLevelType w:val="hybridMultilevel"/>
    <w:tmpl w:val="0C96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777AE2"/>
    <w:multiLevelType w:val="hybridMultilevel"/>
    <w:tmpl w:val="61C63E18"/>
    <w:lvl w:ilvl="0" w:tplc="DD908C28">
      <w:start w:val="1"/>
      <w:numFmt w:val="low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1">
    <w:nsid w:val="3BB25710"/>
    <w:multiLevelType w:val="hybridMultilevel"/>
    <w:tmpl w:val="9FD2CAAE"/>
    <w:lvl w:ilvl="0" w:tplc="0DBE71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ED4180E"/>
    <w:multiLevelType w:val="hybridMultilevel"/>
    <w:tmpl w:val="197053D6"/>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3">
    <w:nsid w:val="428A68DA"/>
    <w:multiLevelType w:val="hybridMultilevel"/>
    <w:tmpl w:val="1A72D336"/>
    <w:lvl w:ilvl="0" w:tplc="6F2EA1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C1578B"/>
    <w:multiLevelType w:val="hybridMultilevel"/>
    <w:tmpl w:val="55D07684"/>
    <w:lvl w:ilvl="0" w:tplc="0409001B">
      <w:start w:val="1"/>
      <w:numFmt w:val="lowerRoman"/>
      <w:lvlText w:val="%1."/>
      <w:lvlJc w:val="righ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5727C80"/>
    <w:multiLevelType w:val="hybridMultilevel"/>
    <w:tmpl w:val="04A0EFAE"/>
    <w:lvl w:ilvl="0" w:tplc="4582FA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864C38"/>
    <w:multiLevelType w:val="hybridMultilevel"/>
    <w:tmpl w:val="EF5E956A"/>
    <w:lvl w:ilvl="0" w:tplc="4588C59E">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nsid w:val="487E432F"/>
    <w:multiLevelType w:val="hybridMultilevel"/>
    <w:tmpl w:val="6728CDD6"/>
    <w:lvl w:ilvl="0" w:tplc="E604B3CC">
      <w:start w:val="1"/>
      <w:numFmt w:val="bullet"/>
      <w:lvlText w:val=""/>
      <w:lvlJc w:val="left"/>
      <w:pPr>
        <w:tabs>
          <w:tab w:val="num" w:pos="288"/>
        </w:tabs>
        <w:ind w:left="288"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D06934"/>
    <w:multiLevelType w:val="hybridMultilevel"/>
    <w:tmpl w:val="BC5CC886"/>
    <w:lvl w:ilvl="0" w:tplc="6D06F97C">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4F1D4524"/>
    <w:multiLevelType w:val="hybridMultilevel"/>
    <w:tmpl w:val="64A454B2"/>
    <w:lvl w:ilvl="0" w:tplc="652A758A">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BF48C60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C558D0"/>
    <w:multiLevelType w:val="hybridMultilevel"/>
    <w:tmpl w:val="8754415E"/>
    <w:lvl w:ilvl="0" w:tplc="FFFFFFFF">
      <w:start w:val="2"/>
      <w:numFmt w:val="lowerRoman"/>
      <w:lvlText w:val="(%1)"/>
      <w:lvlJc w:val="left"/>
      <w:pPr>
        <w:tabs>
          <w:tab w:val="num" w:pos="1440"/>
        </w:tabs>
        <w:ind w:left="1440" w:hanging="720"/>
      </w:pPr>
      <w:rPr>
        <w:rFonts w:hint="default"/>
      </w:rPr>
    </w:lvl>
    <w:lvl w:ilvl="1" w:tplc="FFFFFFFF" w:tentative="1">
      <w:start w:val="1"/>
      <w:numFmt w:val="ideographTraditional"/>
      <w:lvlText w:val="%2、"/>
      <w:lvlJc w:val="left"/>
      <w:pPr>
        <w:tabs>
          <w:tab w:val="num" w:pos="1680"/>
        </w:tabs>
        <w:ind w:left="1680" w:hanging="480"/>
      </w:pPr>
    </w:lvl>
    <w:lvl w:ilvl="2" w:tplc="FFFFFFFF" w:tentative="1">
      <w:start w:val="1"/>
      <w:numFmt w:val="lowerRoman"/>
      <w:lvlText w:val="%3."/>
      <w:lvlJc w:val="right"/>
      <w:pPr>
        <w:tabs>
          <w:tab w:val="num" w:pos="2160"/>
        </w:tabs>
        <w:ind w:left="2160" w:hanging="480"/>
      </w:pPr>
    </w:lvl>
    <w:lvl w:ilvl="3" w:tplc="FFFFFFFF" w:tentative="1">
      <w:start w:val="1"/>
      <w:numFmt w:val="decimal"/>
      <w:lvlText w:val="%4."/>
      <w:lvlJc w:val="left"/>
      <w:pPr>
        <w:tabs>
          <w:tab w:val="num" w:pos="2640"/>
        </w:tabs>
        <w:ind w:left="2640" w:hanging="480"/>
      </w:pPr>
    </w:lvl>
    <w:lvl w:ilvl="4" w:tplc="FFFFFFFF" w:tentative="1">
      <w:start w:val="1"/>
      <w:numFmt w:val="ideographTraditional"/>
      <w:lvlText w:val="%5、"/>
      <w:lvlJc w:val="left"/>
      <w:pPr>
        <w:tabs>
          <w:tab w:val="num" w:pos="3120"/>
        </w:tabs>
        <w:ind w:left="3120" w:hanging="480"/>
      </w:pPr>
    </w:lvl>
    <w:lvl w:ilvl="5" w:tplc="FFFFFFFF" w:tentative="1">
      <w:start w:val="1"/>
      <w:numFmt w:val="lowerRoman"/>
      <w:lvlText w:val="%6."/>
      <w:lvlJc w:val="right"/>
      <w:pPr>
        <w:tabs>
          <w:tab w:val="num" w:pos="3600"/>
        </w:tabs>
        <w:ind w:left="3600" w:hanging="480"/>
      </w:pPr>
    </w:lvl>
    <w:lvl w:ilvl="6" w:tplc="FFFFFFFF" w:tentative="1">
      <w:start w:val="1"/>
      <w:numFmt w:val="decimal"/>
      <w:lvlText w:val="%7."/>
      <w:lvlJc w:val="left"/>
      <w:pPr>
        <w:tabs>
          <w:tab w:val="num" w:pos="4080"/>
        </w:tabs>
        <w:ind w:left="4080" w:hanging="480"/>
      </w:pPr>
    </w:lvl>
    <w:lvl w:ilvl="7" w:tplc="FFFFFFFF" w:tentative="1">
      <w:start w:val="1"/>
      <w:numFmt w:val="ideographTraditional"/>
      <w:lvlText w:val="%8、"/>
      <w:lvlJc w:val="left"/>
      <w:pPr>
        <w:tabs>
          <w:tab w:val="num" w:pos="4560"/>
        </w:tabs>
        <w:ind w:left="4560" w:hanging="480"/>
      </w:pPr>
    </w:lvl>
    <w:lvl w:ilvl="8" w:tplc="FFFFFFFF" w:tentative="1">
      <w:start w:val="1"/>
      <w:numFmt w:val="lowerRoman"/>
      <w:lvlText w:val="%9."/>
      <w:lvlJc w:val="right"/>
      <w:pPr>
        <w:tabs>
          <w:tab w:val="num" w:pos="5040"/>
        </w:tabs>
        <w:ind w:left="5040" w:hanging="480"/>
      </w:pPr>
    </w:lvl>
  </w:abstractNum>
  <w:abstractNum w:abstractNumId="31">
    <w:nsid w:val="514634E5"/>
    <w:multiLevelType w:val="hybridMultilevel"/>
    <w:tmpl w:val="F5C8A158"/>
    <w:lvl w:ilvl="0" w:tplc="FFFFFFFF">
      <w:start w:val="1"/>
      <w:numFmt w:val="lowerLetter"/>
      <w:lvlText w:val="%1."/>
      <w:lvlJc w:val="left"/>
      <w:pPr>
        <w:tabs>
          <w:tab w:val="num" w:pos="480"/>
        </w:tabs>
        <w:ind w:left="480" w:hanging="48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nsid w:val="521F389E"/>
    <w:multiLevelType w:val="hybridMultilevel"/>
    <w:tmpl w:val="A224A808"/>
    <w:lvl w:ilvl="0" w:tplc="C0ECB5D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382572D"/>
    <w:multiLevelType w:val="hybridMultilevel"/>
    <w:tmpl w:val="0AFE2B00"/>
    <w:lvl w:ilvl="0" w:tplc="8D86B35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3D671F9"/>
    <w:multiLevelType w:val="hybridMultilevel"/>
    <w:tmpl w:val="7DE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3B4F6D"/>
    <w:multiLevelType w:val="hybridMultilevel"/>
    <w:tmpl w:val="34A28AD6"/>
    <w:lvl w:ilvl="0" w:tplc="AD7612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BD7B05"/>
    <w:multiLevelType w:val="hybridMultilevel"/>
    <w:tmpl w:val="BF3A9516"/>
    <w:lvl w:ilvl="0" w:tplc="F7D4471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E871C3"/>
    <w:multiLevelType w:val="multilevel"/>
    <w:tmpl w:val="CC9AC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6BF13C24"/>
    <w:multiLevelType w:val="hybridMultilevel"/>
    <w:tmpl w:val="8428718A"/>
    <w:lvl w:ilvl="0" w:tplc="39FCE912">
      <w:start w:val="1"/>
      <w:numFmt w:val="lowerRoman"/>
      <w:lvlText w:val="(%1)"/>
      <w:lvlJc w:val="left"/>
      <w:pPr>
        <w:tabs>
          <w:tab w:val="num" w:pos="1080"/>
        </w:tabs>
        <w:ind w:left="1080" w:hanging="720"/>
      </w:pPr>
      <w:rPr>
        <w:rFonts w:hint="default"/>
      </w:rPr>
    </w:lvl>
    <w:lvl w:ilvl="1" w:tplc="50ECE4CE">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7B0553"/>
    <w:multiLevelType w:val="hybridMultilevel"/>
    <w:tmpl w:val="B9D476A0"/>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40">
    <w:nsid w:val="6FF275E8"/>
    <w:multiLevelType w:val="hybridMultilevel"/>
    <w:tmpl w:val="D242E580"/>
    <w:lvl w:ilvl="0" w:tplc="4650FB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1D1755"/>
    <w:multiLevelType w:val="multilevel"/>
    <w:tmpl w:val="CC9ACE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2">
    <w:nsid w:val="7BBE751E"/>
    <w:multiLevelType w:val="multilevel"/>
    <w:tmpl w:val="203CE5D2"/>
    <w:lvl w:ilvl="0">
      <w:start w:val="1"/>
      <w:numFmt w:val="decimal"/>
      <w:lvlText w:val="%1."/>
      <w:lvlJc w:val="left"/>
      <w:pPr>
        <w:ind w:left="737" w:hanging="377"/>
      </w:pPr>
      <w:rPr>
        <w:rFonts w:hint="default"/>
      </w:rPr>
    </w:lvl>
    <w:lvl w:ilvl="1">
      <w:start w:val="1"/>
      <w:numFmt w:val="decimal"/>
      <w:isLgl/>
      <w:lvlText w:val="%1.%2"/>
      <w:lvlJc w:val="left"/>
      <w:pPr>
        <w:ind w:left="737" w:hanging="737"/>
      </w:pPr>
      <w:rPr>
        <w:rFonts w:hint="default"/>
      </w:rPr>
    </w:lvl>
    <w:lvl w:ilvl="2">
      <w:start w:val="1"/>
      <w:numFmt w:val="decimal"/>
      <w:lvlText w:val="(%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9"/>
  </w:num>
  <w:num w:numId="3">
    <w:abstractNumId w:val="5"/>
  </w:num>
  <w:num w:numId="4">
    <w:abstractNumId w:val="21"/>
  </w:num>
  <w:num w:numId="5">
    <w:abstractNumId w:val="8"/>
  </w:num>
  <w:num w:numId="6">
    <w:abstractNumId w:val="41"/>
  </w:num>
  <w:num w:numId="7">
    <w:abstractNumId w:val="29"/>
  </w:num>
  <w:num w:numId="8">
    <w:abstractNumId w:val="25"/>
  </w:num>
  <w:num w:numId="9">
    <w:abstractNumId w:val="35"/>
  </w:num>
  <w:num w:numId="10">
    <w:abstractNumId w:val="40"/>
  </w:num>
  <w:num w:numId="11">
    <w:abstractNumId w:val="3"/>
  </w:num>
  <w:num w:numId="12">
    <w:abstractNumId w:val="15"/>
  </w:num>
  <w:num w:numId="13">
    <w:abstractNumId w:val="23"/>
  </w:num>
  <w:num w:numId="14">
    <w:abstractNumId w:val="20"/>
  </w:num>
  <w:num w:numId="15">
    <w:abstractNumId w:val="26"/>
  </w:num>
  <w:num w:numId="16">
    <w:abstractNumId w:val="18"/>
  </w:num>
  <w:num w:numId="17">
    <w:abstractNumId w:val="38"/>
  </w:num>
  <w:num w:numId="18">
    <w:abstractNumId w:val="27"/>
  </w:num>
  <w:num w:numId="19">
    <w:abstractNumId w:val="31"/>
  </w:num>
  <w:num w:numId="20">
    <w:abstractNumId w:val="30"/>
  </w:num>
  <w:num w:numId="21">
    <w:abstractNumId w:val="28"/>
  </w:num>
  <w:num w:numId="22">
    <w:abstractNumId w:val="4"/>
  </w:num>
  <w:num w:numId="23">
    <w:abstractNumId w:val="10"/>
  </w:num>
  <w:num w:numId="24">
    <w:abstractNumId w:val="33"/>
  </w:num>
  <w:num w:numId="25">
    <w:abstractNumId w:val="32"/>
  </w:num>
  <w:num w:numId="26">
    <w:abstractNumId w:val="36"/>
  </w:num>
  <w:num w:numId="27">
    <w:abstractNumId w:val="16"/>
  </w:num>
  <w:num w:numId="28">
    <w:abstractNumId w:val="37"/>
  </w:num>
  <w:num w:numId="29">
    <w:abstractNumId w:val="17"/>
  </w:num>
  <w:num w:numId="30">
    <w:abstractNumId w:val="0"/>
  </w:num>
  <w:num w:numId="31">
    <w:abstractNumId w:val="6"/>
  </w:num>
  <w:num w:numId="32">
    <w:abstractNumId w:val="34"/>
  </w:num>
  <w:num w:numId="33">
    <w:abstractNumId w:val="19"/>
  </w:num>
  <w:num w:numId="34">
    <w:abstractNumId w:val="12"/>
  </w:num>
  <w:num w:numId="35">
    <w:abstractNumId w:val="11"/>
  </w:num>
  <w:num w:numId="36">
    <w:abstractNumId w:val="13"/>
  </w:num>
  <w:num w:numId="37">
    <w:abstractNumId w:val="42"/>
  </w:num>
  <w:num w:numId="38">
    <w:abstractNumId w:val="14"/>
  </w:num>
  <w:num w:numId="39">
    <w:abstractNumId w:val="1"/>
  </w:num>
  <w:num w:numId="40">
    <w:abstractNumId w:val="22"/>
  </w:num>
  <w:num w:numId="41">
    <w:abstractNumId w:val="39"/>
  </w:num>
  <w:num w:numId="42">
    <w:abstractNumId w:val="2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49"/>
    <w:rsid w:val="0000370F"/>
    <w:rsid w:val="000235E5"/>
    <w:rsid w:val="00027023"/>
    <w:rsid w:val="00027EC1"/>
    <w:rsid w:val="0005061B"/>
    <w:rsid w:val="00077839"/>
    <w:rsid w:val="00086911"/>
    <w:rsid w:val="00093DC3"/>
    <w:rsid w:val="000B6D6E"/>
    <w:rsid w:val="000C00EC"/>
    <w:rsid w:val="000D311C"/>
    <w:rsid w:val="000E5F8D"/>
    <w:rsid w:val="001123A3"/>
    <w:rsid w:val="00126A15"/>
    <w:rsid w:val="001311A6"/>
    <w:rsid w:val="00135E09"/>
    <w:rsid w:val="001477C2"/>
    <w:rsid w:val="00150DE5"/>
    <w:rsid w:val="001513A4"/>
    <w:rsid w:val="00157E2A"/>
    <w:rsid w:val="00191575"/>
    <w:rsid w:val="00195036"/>
    <w:rsid w:val="001A2815"/>
    <w:rsid w:val="001D17D4"/>
    <w:rsid w:val="001D6DF3"/>
    <w:rsid w:val="001D7C7E"/>
    <w:rsid w:val="001E5D46"/>
    <w:rsid w:val="0020069B"/>
    <w:rsid w:val="00215484"/>
    <w:rsid w:val="0022705C"/>
    <w:rsid w:val="002430F1"/>
    <w:rsid w:val="00260406"/>
    <w:rsid w:val="0027692A"/>
    <w:rsid w:val="00282AE2"/>
    <w:rsid w:val="002834EE"/>
    <w:rsid w:val="00291EB5"/>
    <w:rsid w:val="002A144C"/>
    <w:rsid w:val="002A3464"/>
    <w:rsid w:val="002D7659"/>
    <w:rsid w:val="003102BD"/>
    <w:rsid w:val="00364428"/>
    <w:rsid w:val="00383B65"/>
    <w:rsid w:val="00392A31"/>
    <w:rsid w:val="003977DB"/>
    <w:rsid w:val="003A2D53"/>
    <w:rsid w:val="003C6B11"/>
    <w:rsid w:val="003E0CB8"/>
    <w:rsid w:val="003E5916"/>
    <w:rsid w:val="003F7D4D"/>
    <w:rsid w:val="00401312"/>
    <w:rsid w:val="00403059"/>
    <w:rsid w:val="00406F87"/>
    <w:rsid w:val="00430A3F"/>
    <w:rsid w:val="004417D5"/>
    <w:rsid w:val="00456420"/>
    <w:rsid w:val="0046748B"/>
    <w:rsid w:val="004C3CF5"/>
    <w:rsid w:val="005177D7"/>
    <w:rsid w:val="00582056"/>
    <w:rsid w:val="00590B72"/>
    <w:rsid w:val="005B3E45"/>
    <w:rsid w:val="005B4761"/>
    <w:rsid w:val="005C06F3"/>
    <w:rsid w:val="005D7A1D"/>
    <w:rsid w:val="0060029F"/>
    <w:rsid w:val="006243F6"/>
    <w:rsid w:val="0063468B"/>
    <w:rsid w:val="0065050B"/>
    <w:rsid w:val="00661105"/>
    <w:rsid w:val="00664E54"/>
    <w:rsid w:val="0066717A"/>
    <w:rsid w:val="00667431"/>
    <w:rsid w:val="006733FC"/>
    <w:rsid w:val="006737B0"/>
    <w:rsid w:val="006766C6"/>
    <w:rsid w:val="006B0C2C"/>
    <w:rsid w:val="006B23A7"/>
    <w:rsid w:val="006C67EC"/>
    <w:rsid w:val="006D33DD"/>
    <w:rsid w:val="006D424F"/>
    <w:rsid w:val="006E5EC9"/>
    <w:rsid w:val="00700D18"/>
    <w:rsid w:val="00702E7E"/>
    <w:rsid w:val="007129F7"/>
    <w:rsid w:val="00714649"/>
    <w:rsid w:val="007A1EC8"/>
    <w:rsid w:val="007A632C"/>
    <w:rsid w:val="007A6DAE"/>
    <w:rsid w:val="007B500B"/>
    <w:rsid w:val="007C0EC1"/>
    <w:rsid w:val="007C10D9"/>
    <w:rsid w:val="007C3081"/>
    <w:rsid w:val="007C3E51"/>
    <w:rsid w:val="007C5411"/>
    <w:rsid w:val="007C6634"/>
    <w:rsid w:val="007D3E76"/>
    <w:rsid w:val="007E0A58"/>
    <w:rsid w:val="007E2EC8"/>
    <w:rsid w:val="007E65C0"/>
    <w:rsid w:val="007E7CA2"/>
    <w:rsid w:val="007F4D55"/>
    <w:rsid w:val="00810395"/>
    <w:rsid w:val="0081476A"/>
    <w:rsid w:val="00835A17"/>
    <w:rsid w:val="0085466B"/>
    <w:rsid w:val="0089156D"/>
    <w:rsid w:val="008920E4"/>
    <w:rsid w:val="008A27D2"/>
    <w:rsid w:val="008B0322"/>
    <w:rsid w:val="008C1321"/>
    <w:rsid w:val="008C234D"/>
    <w:rsid w:val="008F09BB"/>
    <w:rsid w:val="008F715F"/>
    <w:rsid w:val="00903335"/>
    <w:rsid w:val="0091212E"/>
    <w:rsid w:val="00914981"/>
    <w:rsid w:val="00924597"/>
    <w:rsid w:val="00937834"/>
    <w:rsid w:val="00946B73"/>
    <w:rsid w:val="0095158D"/>
    <w:rsid w:val="00951C5C"/>
    <w:rsid w:val="00953479"/>
    <w:rsid w:val="009664EE"/>
    <w:rsid w:val="009D01EE"/>
    <w:rsid w:val="009E106B"/>
    <w:rsid w:val="009F693B"/>
    <w:rsid w:val="00A12835"/>
    <w:rsid w:val="00A20435"/>
    <w:rsid w:val="00A2374F"/>
    <w:rsid w:val="00A4357B"/>
    <w:rsid w:val="00A63731"/>
    <w:rsid w:val="00A83E75"/>
    <w:rsid w:val="00A93939"/>
    <w:rsid w:val="00AA2C6D"/>
    <w:rsid w:val="00AB0B7D"/>
    <w:rsid w:val="00AC71AE"/>
    <w:rsid w:val="00B07EC1"/>
    <w:rsid w:val="00B31303"/>
    <w:rsid w:val="00B34508"/>
    <w:rsid w:val="00B35E59"/>
    <w:rsid w:val="00B43825"/>
    <w:rsid w:val="00B471C9"/>
    <w:rsid w:val="00B51FD4"/>
    <w:rsid w:val="00B80D33"/>
    <w:rsid w:val="00B83831"/>
    <w:rsid w:val="00B93ADB"/>
    <w:rsid w:val="00B96815"/>
    <w:rsid w:val="00BC4256"/>
    <w:rsid w:val="00BC518F"/>
    <w:rsid w:val="00BC5D05"/>
    <w:rsid w:val="00BE4D20"/>
    <w:rsid w:val="00BF31B0"/>
    <w:rsid w:val="00C24ED1"/>
    <w:rsid w:val="00C47E40"/>
    <w:rsid w:val="00C721CF"/>
    <w:rsid w:val="00CA0438"/>
    <w:rsid w:val="00CB29E2"/>
    <w:rsid w:val="00CD2DBA"/>
    <w:rsid w:val="00CD7E3C"/>
    <w:rsid w:val="00CE0B1E"/>
    <w:rsid w:val="00CF1D11"/>
    <w:rsid w:val="00D00906"/>
    <w:rsid w:val="00D53B50"/>
    <w:rsid w:val="00D55C52"/>
    <w:rsid w:val="00D579B8"/>
    <w:rsid w:val="00D62352"/>
    <w:rsid w:val="00D77870"/>
    <w:rsid w:val="00D91C45"/>
    <w:rsid w:val="00DC51E0"/>
    <w:rsid w:val="00DD470D"/>
    <w:rsid w:val="00DD6C26"/>
    <w:rsid w:val="00DF2BCE"/>
    <w:rsid w:val="00E00031"/>
    <w:rsid w:val="00E00F49"/>
    <w:rsid w:val="00E0761C"/>
    <w:rsid w:val="00E115EC"/>
    <w:rsid w:val="00E12E6D"/>
    <w:rsid w:val="00E34CD4"/>
    <w:rsid w:val="00E94618"/>
    <w:rsid w:val="00EE0192"/>
    <w:rsid w:val="00F05498"/>
    <w:rsid w:val="00F05FEF"/>
    <w:rsid w:val="00F06F33"/>
    <w:rsid w:val="00F5695D"/>
    <w:rsid w:val="00F63F09"/>
    <w:rsid w:val="00F81335"/>
    <w:rsid w:val="00F95796"/>
    <w:rsid w:val="00FD7BB3"/>
    <w:rsid w:val="00FE06AC"/>
    <w:rsid w:val="00FE3DF6"/>
    <w:rsid w:val="00FF3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iPriority w:val="9"/>
    <w:semiHidden/>
    <w:unhideWhenUsed/>
    <w:qFormat/>
    <w:rsid w:val="00397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semiHidden/>
    <w:pPr>
      <w:jc w:val="both"/>
    </w:pPr>
  </w:style>
  <w:style w:type="paragraph" w:styleId="BodyTextIndent">
    <w:name w:val="Body Text Indent"/>
    <w:basedOn w:val="Normal"/>
    <w:semiHidden/>
    <w:pPr>
      <w:ind w:left="720"/>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paragraph" w:styleId="Header">
    <w:name w:val="header"/>
    <w:basedOn w:val="Normal"/>
    <w:semiHidden/>
    <w:pPr>
      <w:tabs>
        <w:tab w:val="center" w:pos="4320"/>
        <w:tab w:val="right" w:pos="8640"/>
      </w:tabs>
    </w:pPr>
  </w:style>
  <w:style w:type="paragraph" w:customStyle="1" w:styleId="ABLOCKPARA">
    <w:name w:val="A BLOCK PARA"/>
    <w:basedOn w:val="Normal"/>
    <w:pPr>
      <w:overflowPunct w:val="0"/>
      <w:autoSpaceDE w:val="0"/>
      <w:autoSpaceDN w:val="0"/>
      <w:adjustRightInd w:val="0"/>
      <w:jc w:val="both"/>
      <w:textAlignment w:val="baseline"/>
    </w:pPr>
    <w:rPr>
      <w:rFonts w:ascii="Book Antiqua" w:hAnsi="Book Antiqua"/>
      <w:sz w:val="22"/>
      <w:szCs w:val="20"/>
      <w:lang w:val="en-US" w:eastAsia="zh-TW"/>
    </w:rPr>
  </w:style>
  <w:style w:type="paragraph" w:styleId="BodyTextIndent2">
    <w:name w:val="Body Text Indent 2"/>
    <w:basedOn w:val="Normal"/>
    <w:semiHidden/>
    <w:pPr>
      <w:tabs>
        <w:tab w:val="num" w:pos="540"/>
      </w:tabs>
      <w:ind w:left="1080" w:hanging="540"/>
      <w:jc w:val="both"/>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semiHidden/>
    <w:pPr>
      <w:spacing w:after="120"/>
      <w:ind w:left="360"/>
    </w:pPr>
    <w:rPr>
      <w:sz w:val="16"/>
      <w:szCs w:val="16"/>
    </w:rPr>
  </w:style>
  <w:style w:type="paragraph" w:styleId="ListParagraph">
    <w:name w:val="List Paragraph"/>
    <w:basedOn w:val="Normal"/>
    <w:uiPriority w:val="34"/>
    <w:qFormat/>
    <w:rsid w:val="0027692A"/>
    <w:pPr>
      <w:ind w:left="720"/>
    </w:pPr>
  </w:style>
  <w:style w:type="table" w:styleId="TableGrid">
    <w:name w:val="Table Grid"/>
    <w:basedOn w:val="TableNormal"/>
    <w:uiPriority w:val="59"/>
    <w:rsid w:val="00F06F33"/>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1321"/>
    <w:rPr>
      <w:color w:val="0000FF" w:themeColor="hyperlink"/>
      <w:u w:val="single"/>
    </w:rPr>
  </w:style>
  <w:style w:type="character" w:customStyle="1" w:styleId="Heading3Char">
    <w:name w:val="Heading 3 Char"/>
    <w:basedOn w:val="DefaultParagraphFont"/>
    <w:link w:val="Heading3"/>
    <w:uiPriority w:val="9"/>
    <w:semiHidden/>
    <w:rsid w:val="003977DB"/>
    <w:rPr>
      <w:rFonts w:asciiTheme="majorHAnsi" w:eastAsiaTheme="majorEastAsia" w:hAnsiTheme="majorHAnsi" w:cstheme="majorBidi"/>
      <w:b/>
      <w:bCs/>
      <w:color w:val="4F81BD" w:themeColor="accent1"/>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rPr>
  </w:style>
  <w:style w:type="paragraph" w:styleId="Heading1">
    <w:name w:val="heading 1"/>
    <w:basedOn w:val="Normal"/>
    <w:next w:val="Normal"/>
    <w:qFormat/>
    <w:pPr>
      <w:keepNext/>
      <w:jc w:val="both"/>
      <w:outlineLvl w:val="0"/>
    </w:pPr>
    <w:rPr>
      <w:b/>
      <w:bCs/>
    </w:rPr>
  </w:style>
  <w:style w:type="paragraph" w:styleId="Heading3">
    <w:name w:val="heading 3"/>
    <w:basedOn w:val="Normal"/>
    <w:next w:val="Normal"/>
    <w:link w:val="Heading3Char"/>
    <w:uiPriority w:val="9"/>
    <w:semiHidden/>
    <w:unhideWhenUsed/>
    <w:qFormat/>
    <w:rsid w:val="003977D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rPr>
  </w:style>
  <w:style w:type="paragraph" w:styleId="BodyText">
    <w:name w:val="Body Text"/>
    <w:basedOn w:val="Normal"/>
    <w:semiHidden/>
    <w:pPr>
      <w:jc w:val="both"/>
    </w:pPr>
  </w:style>
  <w:style w:type="paragraph" w:styleId="BodyTextIndent">
    <w:name w:val="Body Text Indent"/>
    <w:basedOn w:val="Normal"/>
    <w:semiHidden/>
    <w:pPr>
      <w:ind w:left="720"/>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uiPriority w:val="99"/>
    <w:rPr>
      <w:vertAlign w:val="superscript"/>
    </w:rPr>
  </w:style>
  <w:style w:type="paragraph" w:styleId="Header">
    <w:name w:val="header"/>
    <w:basedOn w:val="Normal"/>
    <w:semiHidden/>
    <w:pPr>
      <w:tabs>
        <w:tab w:val="center" w:pos="4320"/>
        <w:tab w:val="right" w:pos="8640"/>
      </w:tabs>
    </w:pPr>
  </w:style>
  <w:style w:type="paragraph" w:customStyle="1" w:styleId="ABLOCKPARA">
    <w:name w:val="A BLOCK PARA"/>
    <w:basedOn w:val="Normal"/>
    <w:pPr>
      <w:overflowPunct w:val="0"/>
      <w:autoSpaceDE w:val="0"/>
      <w:autoSpaceDN w:val="0"/>
      <w:adjustRightInd w:val="0"/>
      <w:jc w:val="both"/>
      <w:textAlignment w:val="baseline"/>
    </w:pPr>
    <w:rPr>
      <w:rFonts w:ascii="Book Antiqua" w:hAnsi="Book Antiqua"/>
      <w:sz w:val="22"/>
      <w:szCs w:val="20"/>
      <w:lang w:val="en-US" w:eastAsia="zh-TW"/>
    </w:rPr>
  </w:style>
  <w:style w:type="paragraph" w:styleId="BodyTextIndent2">
    <w:name w:val="Body Text Indent 2"/>
    <w:basedOn w:val="Normal"/>
    <w:semiHidden/>
    <w:pPr>
      <w:tabs>
        <w:tab w:val="num" w:pos="540"/>
      </w:tabs>
      <w:ind w:left="1080" w:hanging="540"/>
      <w:jc w:val="both"/>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semiHidden/>
    <w:pPr>
      <w:spacing w:after="120"/>
      <w:ind w:left="360"/>
    </w:pPr>
    <w:rPr>
      <w:sz w:val="16"/>
      <w:szCs w:val="16"/>
    </w:rPr>
  </w:style>
  <w:style w:type="paragraph" w:styleId="ListParagraph">
    <w:name w:val="List Paragraph"/>
    <w:basedOn w:val="Normal"/>
    <w:uiPriority w:val="34"/>
    <w:qFormat/>
    <w:rsid w:val="0027692A"/>
    <w:pPr>
      <w:ind w:left="720"/>
    </w:pPr>
  </w:style>
  <w:style w:type="table" w:styleId="TableGrid">
    <w:name w:val="Table Grid"/>
    <w:basedOn w:val="TableNormal"/>
    <w:uiPriority w:val="59"/>
    <w:rsid w:val="00F06F33"/>
    <w:rPr>
      <w:rFonts w:asciiTheme="minorHAnsi" w:eastAsiaTheme="minorEastAsia"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C1321"/>
    <w:rPr>
      <w:color w:val="0000FF" w:themeColor="hyperlink"/>
      <w:u w:val="single"/>
    </w:rPr>
  </w:style>
  <w:style w:type="character" w:customStyle="1" w:styleId="Heading3Char">
    <w:name w:val="Heading 3 Char"/>
    <w:basedOn w:val="DefaultParagraphFont"/>
    <w:link w:val="Heading3"/>
    <w:uiPriority w:val="9"/>
    <w:semiHidden/>
    <w:rsid w:val="003977DB"/>
    <w:rPr>
      <w:rFonts w:asciiTheme="majorHAnsi" w:eastAsiaTheme="majorEastAsia" w:hAnsiTheme="majorHAnsi" w:cstheme="majorBidi"/>
      <w:b/>
      <w:bCs/>
      <w:color w:val="4F81BD"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5ADC3-5AAE-4573-B42D-DCEE6A8B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20</Pages>
  <Words>6348</Words>
  <Characters>36188</Characters>
  <Application>Microsoft Office Word</Application>
  <DocSecurity>0</DocSecurity>
  <Lines>301</Lines>
  <Paragraphs>84</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In fact there are few reported cases of enforcement action being taken against licensed corporations or licensed representativ</vt:lpstr>
      <vt:lpstr>In fact there are few reported cases of enforcement action being taken against licensed corporations or licensed representativ</vt:lpstr>
    </vt:vector>
  </TitlesOfParts>
  <Company/>
  <LinksUpToDate>false</LinksUpToDate>
  <CharactersWithSpaces>42452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fact there are few reported cases of enforcement action being taken against licensed corporations or licensed representativ</dc:title>
  <dc:subject/>
  <dc:creator>wbrophy</dc:creator>
  <cp:keywords/>
  <cp:lastModifiedBy>Charltons</cp:lastModifiedBy>
  <cp:revision>88</cp:revision>
  <cp:lastPrinted>2007-05-25T10:03:00Z</cp:lastPrinted>
  <dcterms:created xsi:type="dcterms:W3CDTF">2013-06-03T14:03:00Z</dcterms:created>
  <dcterms:modified xsi:type="dcterms:W3CDTF">2013-10-09T07:41:00Z</dcterms:modified>
</cp:coreProperties>
</file>